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FA32A0" w:rsidR="002920B2" w:rsidP="002920B2" w:rsidRDefault="00181475" w14:paraId="2483CD7D" w14:textId="77777777">
      <w:pPr>
        <w:spacing w:before="89" w:line="240" w:lineRule="exact"/>
        <w:ind w:left="274"/>
        <w:rPr>
          <w:rFonts w:ascii="Averta Extrabold" w:hAnsi="Averta Extrabold" w:cs="Arial"/>
          <w:sz w:val="24"/>
        </w:rPr>
      </w:pPr>
      <w:r w:rsidRPr="00FA32A0">
        <w:rPr>
          <w:rFonts w:ascii="Averta Extrabold" w:hAnsi="Averta Extrabold" w:cs="Arial"/>
          <w:color w:val="F37062"/>
          <w:sz w:val="24"/>
        </w:rPr>
        <w:t>SAMPLE OUTLINE OF LETTER OF APPEAL</w:t>
      </w:r>
      <w:r w:rsidRPr="00FA32A0" w:rsidR="00A528D1">
        <w:rPr>
          <w:rFonts w:ascii="Averta Extrabold" w:hAnsi="Averta Extrabold" w:cs="Arial"/>
          <w:sz w:val="24"/>
        </w:rPr>
        <w:t xml:space="preserve"> </w:t>
      </w:r>
    </w:p>
    <w:p w:rsidRPr="00FA32A0" w:rsidR="00327884" w:rsidP="002920B2" w:rsidRDefault="00181475" w14:paraId="5741B40E" w14:textId="7B3B1439">
      <w:pPr>
        <w:spacing w:before="89" w:line="240" w:lineRule="exact"/>
        <w:ind w:left="274" w:right="-434"/>
        <w:rPr>
          <w:rFonts w:ascii="Averta Extrabold" w:hAnsi="Averta Extrabold" w:cs="Arial"/>
          <w:sz w:val="24"/>
        </w:rPr>
      </w:pPr>
      <w:r w:rsidRPr="00FA32A0">
        <w:rPr>
          <w:rFonts w:ascii="Averta Extrabold" w:hAnsi="Averta Extrabold" w:cs="Arial"/>
          <w:color w:val="F37062"/>
          <w:sz w:val="24"/>
        </w:rPr>
        <w:t xml:space="preserve">FOR </w:t>
      </w:r>
      <w:r w:rsidRPr="00FA32A0">
        <w:rPr>
          <w:rFonts w:ascii="Averta Extrabold" w:hAnsi="Averta Extrabold" w:cs="Arial"/>
          <w:color w:val="F37062"/>
          <w:spacing w:val="-4"/>
          <w:sz w:val="24"/>
        </w:rPr>
        <w:t xml:space="preserve">PATIENTS </w:t>
      </w:r>
      <w:r w:rsidRPr="00FA32A0">
        <w:rPr>
          <w:rFonts w:ascii="Averta Extrabold" w:hAnsi="Averta Extrabold" w:cs="Arial"/>
          <w:color w:val="F37062"/>
          <w:spacing w:val="-3"/>
          <w:sz w:val="24"/>
        </w:rPr>
        <w:t xml:space="preserve">NOT </w:t>
      </w:r>
      <w:r w:rsidRPr="00FA32A0">
        <w:rPr>
          <w:rFonts w:ascii="Averta Extrabold" w:hAnsi="Averta Extrabold" w:cs="Arial"/>
          <w:color w:val="F37062"/>
          <w:spacing w:val="-4"/>
          <w:sz w:val="24"/>
        </w:rPr>
        <w:t xml:space="preserve">ACTIVELY </w:t>
      </w:r>
      <w:r w:rsidRPr="00FA32A0">
        <w:rPr>
          <w:rFonts w:ascii="Averta Extrabold" w:hAnsi="Averta Extrabold" w:cs="Arial"/>
          <w:color w:val="F37062"/>
          <w:sz w:val="24"/>
        </w:rPr>
        <w:t>ON RMS</w:t>
      </w:r>
      <w:r w:rsidRPr="00FA32A0" w:rsidR="00A528D1">
        <w:rPr>
          <w:rFonts w:ascii="Averta Extrabold" w:hAnsi="Averta Extrabold" w:cs="Arial"/>
          <w:color w:val="F37062"/>
          <w:sz w:val="24"/>
        </w:rPr>
        <w:t xml:space="preserve"> </w:t>
      </w:r>
      <w:r w:rsidRPr="00FA32A0">
        <w:rPr>
          <w:rFonts w:ascii="Averta Extrabold" w:hAnsi="Averta Extrabold" w:cs="Arial"/>
          <w:color w:val="F37062"/>
          <w:sz w:val="24"/>
        </w:rPr>
        <w:t>TREATMENT</w:t>
      </w:r>
    </w:p>
    <w:p w:rsidRPr="00FA32A0" w:rsidR="00327884" w:rsidP="002920B2" w:rsidRDefault="00181475" w14:paraId="0EA56A7C" w14:textId="77777777">
      <w:pPr>
        <w:spacing w:before="239" w:line="280" w:lineRule="exact"/>
        <w:ind w:left="276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[Date]</w:t>
      </w:r>
    </w:p>
    <w:p w:rsidRPr="00FA32A0" w:rsidR="00327884" w:rsidP="002920B2" w:rsidRDefault="00181475" w14:paraId="7AF2D203" w14:textId="77777777">
      <w:pPr>
        <w:spacing w:line="280" w:lineRule="exact"/>
        <w:ind w:left="276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[Health plan name]</w:t>
      </w:r>
    </w:p>
    <w:p w:rsidRPr="00FA32A0" w:rsidR="00327884" w:rsidP="002920B2" w:rsidRDefault="00181475" w14:paraId="506FBB6B" w14:textId="77777777">
      <w:pPr>
        <w:spacing w:line="280" w:lineRule="exact"/>
        <w:ind w:left="276"/>
        <w:rPr>
          <w:rFonts w:ascii="Averta Semibold" w:hAnsi="Averta Semibold" w:cs="Arial"/>
          <w:b/>
          <w:bCs/>
          <w:sz w:val="21"/>
        </w:rPr>
      </w:pPr>
      <w:r w:rsidRPr="003B2044">
        <w:rPr>
          <w:rFonts w:ascii="Averta" w:hAnsi="Averta" w:cs="Arial"/>
          <w:bCs/>
          <w:color w:val="414042"/>
          <w:sz w:val="21"/>
        </w:rPr>
        <w:t xml:space="preserve">ATTN: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[Department]</w:t>
      </w:r>
    </w:p>
    <w:p w:rsidRPr="00FA32A0" w:rsidR="00327884" w:rsidP="002920B2" w:rsidRDefault="00181475" w14:paraId="6975DB4C" w14:textId="7D6084DE">
      <w:pPr>
        <w:spacing w:before="5" w:line="280" w:lineRule="exact"/>
        <w:ind w:left="276" w:right="542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[Medical/Pharmacy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Director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Name (if</w:t>
      </w:r>
      <w:r w:rsidRPr="00FA32A0">
        <w:rPr>
          <w:rFonts w:ascii="Averta Semibold" w:hAnsi="Averta Semibold" w:cs="Arial"/>
          <w:b/>
          <w:bCs/>
          <w:color w:val="008AB0"/>
          <w:spacing w:val="-36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available)] </w:t>
      </w:r>
      <w:r w:rsidRPr="00FA32A0" w:rsidR="006C2C0D">
        <w:rPr>
          <w:rFonts w:ascii="Averta Semibold" w:hAnsi="Averta Semibold" w:cs="Arial"/>
          <w:b/>
          <w:bCs/>
          <w:color w:val="008AB0"/>
          <w:spacing w:val="-3"/>
          <w:sz w:val="21"/>
        </w:rPr>
        <w:br/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[Health plan</w:t>
      </w:r>
      <w:r w:rsidRPr="00FA32A0">
        <w:rPr>
          <w:rFonts w:ascii="Averta Semibold" w:hAnsi="Averta Semibold" w:cs="Arial"/>
          <w:b/>
          <w:bCs/>
          <w:color w:val="008AB0"/>
          <w:spacing w:val="-7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address]</w:t>
      </w:r>
    </w:p>
    <w:p w:rsidRPr="00FA32A0" w:rsidR="00327884" w:rsidP="002920B2" w:rsidRDefault="00181475" w14:paraId="696AF43C" w14:textId="77777777">
      <w:pPr>
        <w:spacing w:line="280" w:lineRule="exact"/>
        <w:ind w:left="276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[City,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State,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ZIP</w:t>
      </w:r>
      <w:r w:rsidRPr="00FA32A0">
        <w:rPr>
          <w:rFonts w:ascii="Averta Semibold" w:hAnsi="Averta Semibold" w:cs="Arial"/>
          <w:b/>
          <w:bCs/>
          <w:color w:val="008AB0"/>
          <w:spacing w:val="-11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code]</w:t>
      </w:r>
    </w:p>
    <w:p w:rsidRPr="003B2044" w:rsidR="00833841" w:rsidP="00833841" w:rsidRDefault="00181475" w14:paraId="5B60D5E8" w14:textId="3C5EDD82">
      <w:pPr>
        <w:spacing w:before="218" w:line="280" w:lineRule="exact"/>
        <w:ind w:left="276" w:right="542" w:hanging="1"/>
        <w:rPr>
          <w:rFonts w:ascii="Averta" w:hAnsi="Averta" w:cs="Arial"/>
          <w:bCs/>
          <w:color w:val="402121"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>Re: Appeal of Denial for KESIMPTA</w:t>
      </w:r>
      <w:r w:rsidRPr="003B2044">
        <w:rPr>
          <w:rFonts w:ascii="Averta" w:hAnsi="Averta" w:cs="Arial"/>
          <w:bCs/>
          <w:color w:val="402121"/>
          <w:position w:val="7"/>
          <w:sz w:val="12"/>
        </w:rPr>
        <w:t>®</w:t>
      </w:r>
      <w:r w:rsidRPr="003B2044" w:rsidR="00850FA7">
        <w:rPr>
          <w:rFonts w:ascii="Averta" w:hAnsi="Averta" w:cs="Arial"/>
          <w:bCs/>
          <w:color w:val="402121"/>
          <w:sz w:val="21"/>
        </w:rPr>
        <w:t xml:space="preserve"> (</w:t>
      </w:r>
      <w:r w:rsidRPr="003B2044">
        <w:rPr>
          <w:rFonts w:ascii="Averta" w:hAnsi="Averta" w:cs="Arial"/>
          <w:bCs/>
          <w:color w:val="402121"/>
          <w:sz w:val="21"/>
        </w:rPr>
        <w:t xml:space="preserve">ofatumumab) </w:t>
      </w:r>
    </w:p>
    <w:p w:rsidRPr="003B2044" w:rsidR="00327884" w:rsidP="00833841" w:rsidRDefault="00181475" w14:paraId="472884C7" w14:textId="0C34A9C0">
      <w:pPr>
        <w:spacing w:line="280" w:lineRule="exact"/>
        <w:ind w:left="274" w:right="547"/>
        <w:rPr>
          <w:rFonts w:ascii="Averta" w:hAnsi="Averta" w:cs="Arial"/>
          <w:bCs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 xml:space="preserve">Dear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[Medical/Pharmacy Director Name]</w:t>
      </w:r>
      <w:r w:rsidRPr="00D003A9">
        <w:rPr>
          <w:rFonts w:ascii="Averta" w:hAnsi="Averta" w:cs="Arial"/>
          <w:color w:val="402121"/>
          <w:sz w:val="21"/>
        </w:rPr>
        <w:t>,</w:t>
      </w:r>
    </w:p>
    <w:p w:rsidRPr="003B2044" w:rsidR="00327884" w:rsidP="002920B2" w:rsidRDefault="00181475" w14:paraId="787A9E1B" w14:textId="77777777">
      <w:pPr>
        <w:pStyle w:val="BodyText"/>
        <w:spacing w:line="280" w:lineRule="exact"/>
        <w:ind w:left="0"/>
        <w:rPr>
          <w:rFonts w:ascii="Averta" w:hAnsi="Averta" w:cs="Arial"/>
          <w:bCs/>
          <w:sz w:val="28"/>
        </w:rPr>
      </w:pPr>
      <w:r w:rsidRPr="003B2044">
        <w:rPr>
          <w:rFonts w:ascii="Averta" w:hAnsi="Averta" w:cs="Arial"/>
          <w:bCs/>
        </w:rPr>
        <w:br w:type="column"/>
      </w:r>
    </w:p>
    <w:p w:rsidRPr="003B2044" w:rsidR="00327884" w:rsidP="002920B2" w:rsidRDefault="00327884" w14:paraId="13106D85" w14:textId="77777777">
      <w:pPr>
        <w:pStyle w:val="BodyText"/>
        <w:spacing w:after="120" w:line="280" w:lineRule="exact"/>
        <w:ind w:left="0"/>
        <w:rPr>
          <w:rFonts w:ascii="Averta" w:hAnsi="Averta" w:cs="Arial"/>
          <w:bCs/>
          <w:sz w:val="28"/>
        </w:rPr>
      </w:pPr>
    </w:p>
    <w:p w:rsidRPr="00FA32A0" w:rsidR="00327884" w:rsidP="008738D1" w:rsidRDefault="00181475" w14:paraId="78463698" w14:textId="3AF4F2D5">
      <w:pPr>
        <w:spacing w:before="320" w:line="280" w:lineRule="exact"/>
        <w:ind w:left="274" w:right="317" w:firstLine="1814"/>
        <w:jc w:val="right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[Patient’s</w:t>
      </w:r>
      <w:r w:rsidRPr="00FA32A0">
        <w:rPr>
          <w:rFonts w:ascii="Averta Semibold" w:hAnsi="Averta Semibold" w:cs="Arial"/>
          <w:b/>
          <w:bCs/>
          <w:color w:val="008AB0"/>
          <w:spacing w:val="-28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Name]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 </w:t>
      </w:r>
      <w:r w:rsidRPr="00FA32A0" w:rsidR="00A528D1">
        <w:rPr>
          <w:rFonts w:ascii="Averta Semibold" w:hAnsi="Averta Semibold" w:cs="Arial"/>
          <w:b/>
          <w:bCs/>
          <w:color w:val="008AB0"/>
          <w:spacing w:val="-2"/>
          <w:sz w:val="21"/>
        </w:rPr>
        <w:br/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[Patient’s</w:t>
      </w:r>
      <w:r w:rsidRPr="00FA32A0">
        <w:rPr>
          <w:rFonts w:ascii="Averta Semibold" w:hAnsi="Averta Semibold" w:cs="Arial"/>
          <w:b/>
          <w:bCs/>
          <w:color w:val="008AB0"/>
          <w:spacing w:val="-19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plan-specific</w:t>
      </w:r>
      <w:r w:rsidRPr="00FA32A0">
        <w:rPr>
          <w:rFonts w:ascii="Averta Semibold" w:hAnsi="Averta Semibold" w:cs="Arial"/>
          <w:b/>
          <w:bCs/>
          <w:color w:val="008AB0"/>
          <w:spacing w:val="-19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member</w:t>
      </w:r>
      <w:r w:rsidRPr="00FA32A0">
        <w:rPr>
          <w:rFonts w:ascii="Averta Semibold" w:hAnsi="Averta Semibold" w:cs="Arial"/>
          <w:b/>
          <w:bCs/>
          <w:color w:val="008AB0"/>
          <w:spacing w:val="-19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ID]</w:t>
      </w:r>
    </w:p>
    <w:p w:rsidRPr="00FA32A0" w:rsidR="00327884" w:rsidP="002920B2" w:rsidRDefault="00181475" w14:paraId="38A956A9" w14:textId="77777777">
      <w:pPr>
        <w:spacing w:before="1" w:line="280" w:lineRule="exact"/>
        <w:ind w:left="2028" w:right="317" w:firstLine="315"/>
        <w:jc w:val="right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[Date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of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 birth]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[Case</w:t>
      </w:r>
      <w:r w:rsidRPr="00FA32A0">
        <w:rPr>
          <w:rFonts w:ascii="Averta Semibold" w:hAnsi="Averta Semibold" w:cs="Arial"/>
          <w:b/>
          <w:bCs/>
          <w:color w:val="008AB0"/>
          <w:spacing w:val="-14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number]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[Dates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of</w:t>
      </w:r>
      <w:r w:rsidRPr="00FA32A0">
        <w:rPr>
          <w:rFonts w:ascii="Averta Semibold" w:hAnsi="Averta Semibold" w:cs="Arial"/>
          <w:b/>
          <w:bCs/>
          <w:color w:val="008AB0"/>
          <w:spacing w:val="-17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service]</w:t>
      </w:r>
    </w:p>
    <w:p w:rsidRPr="003B2044" w:rsidR="00327884" w:rsidP="002920B2" w:rsidRDefault="00327884" w14:paraId="536E6B88" w14:textId="77777777">
      <w:pPr>
        <w:spacing w:line="280" w:lineRule="exact"/>
        <w:jc w:val="right"/>
        <w:rPr>
          <w:rFonts w:ascii="Averta" w:hAnsi="Averta" w:cs="Arial"/>
          <w:bCs/>
          <w:sz w:val="21"/>
        </w:rPr>
        <w:sectPr w:rsidRPr="003B2044" w:rsidR="00327884" w:rsidSect="00163B44">
          <w:type w:val="continuous"/>
          <w:pgSz w:w="12240" w:h="15840" w:orient="portrait"/>
          <w:pgMar w:top="640" w:right="420" w:bottom="280" w:left="440" w:header="720" w:footer="720" w:gutter="0"/>
          <w:cols w:equalWidth="0" w:space="720" w:num="2">
            <w:col w:w="6136" w:space="1207"/>
            <w:col w:w="4037"/>
          </w:cols>
        </w:sectPr>
      </w:pPr>
    </w:p>
    <w:p w:rsidRPr="003B2044" w:rsidR="00327884" w:rsidP="006C2C0D" w:rsidRDefault="00181475" w14:paraId="4E202DF3" w14:textId="77777777">
      <w:pPr>
        <w:spacing w:before="100" w:line="280" w:lineRule="exact"/>
        <w:ind w:left="274" w:right="310"/>
        <w:rPr>
          <w:rFonts w:ascii="Averta" w:hAnsi="Averta" w:cs="Arial"/>
          <w:bCs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 xml:space="preserve">I am writing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to request reconsideration </w:t>
      </w:r>
      <w:r w:rsidRPr="003B2044">
        <w:rPr>
          <w:rFonts w:ascii="Averta" w:hAnsi="Averta" w:cs="Arial"/>
          <w:bCs/>
          <w:color w:val="402121"/>
          <w:sz w:val="21"/>
        </w:rPr>
        <w:t xml:space="preserve">of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your </w:t>
      </w:r>
      <w:r w:rsidRPr="003B2044">
        <w:rPr>
          <w:rFonts w:ascii="Averta" w:hAnsi="Averta" w:cs="Arial"/>
          <w:bCs/>
          <w:color w:val="402121"/>
          <w:sz w:val="21"/>
        </w:rPr>
        <w:t xml:space="preserve">denial of </w:t>
      </w:r>
      <w:r w:rsidRPr="003B2044">
        <w:rPr>
          <w:rFonts w:ascii="Averta" w:hAnsi="Averta" w:cs="Arial"/>
          <w:bCs/>
          <w:color w:val="402121"/>
          <w:spacing w:val="-4"/>
          <w:sz w:val="21"/>
        </w:rPr>
        <w:t xml:space="preserve">coverage </w:t>
      </w:r>
      <w:r w:rsidRPr="003B2044">
        <w:rPr>
          <w:rFonts w:ascii="Averta" w:hAnsi="Averta" w:cs="Arial"/>
          <w:bCs/>
          <w:color w:val="402121"/>
          <w:sz w:val="21"/>
        </w:rPr>
        <w:t xml:space="preserve">of </w:t>
      </w:r>
      <w:r w:rsidRPr="003B2044">
        <w:rPr>
          <w:rFonts w:ascii="Averta" w:hAnsi="Averta" w:cs="Arial"/>
          <w:bCs/>
          <w:color w:val="402121"/>
          <w:spacing w:val="-4"/>
          <w:sz w:val="21"/>
        </w:rPr>
        <w:t xml:space="preserve">KESIMPTA, </w:t>
      </w:r>
      <w:r w:rsidRPr="003B2044">
        <w:rPr>
          <w:rFonts w:ascii="Averta" w:hAnsi="Averta" w:cs="Arial"/>
          <w:bCs/>
          <w:color w:val="402121"/>
          <w:sz w:val="21"/>
        </w:rPr>
        <w:t xml:space="preserve">which I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have prescribed for </w:t>
      </w:r>
      <w:r w:rsidRPr="003B2044">
        <w:rPr>
          <w:rFonts w:ascii="Averta" w:hAnsi="Averta" w:cs="Arial"/>
          <w:bCs/>
          <w:color w:val="402121"/>
          <w:sz w:val="21"/>
        </w:rPr>
        <w:t xml:space="preserve">the patient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referenced </w:t>
      </w:r>
      <w:r w:rsidRPr="003B2044">
        <w:rPr>
          <w:rFonts w:ascii="Averta" w:hAnsi="Averta" w:cs="Arial"/>
          <w:bCs/>
          <w:color w:val="402121"/>
          <w:spacing w:val="-4"/>
          <w:sz w:val="21"/>
        </w:rPr>
        <w:t xml:space="preserve">above. </w:t>
      </w:r>
      <w:r w:rsidRPr="003B2044">
        <w:rPr>
          <w:rFonts w:ascii="Averta" w:hAnsi="Averta" w:cs="Arial"/>
          <w:bCs/>
          <w:color w:val="402121"/>
          <w:sz w:val="21"/>
        </w:rPr>
        <w:t xml:space="preserve">I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have read </w:t>
      </w:r>
      <w:r w:rsidRPr="003B2044">
        <w:rPr>
          <w:rFonts w:ascii="Averta" w:hAnsi="Averta" w:cs="Arial"/>
          <w:bCs/>
          <w:color w:val="402121"/>
          <w:sz w:val="21"/>
        </w:rPr>
        <w:t xml:space="preserve">and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acknowledged your </w:t>
      </w:r>
      <w:r w:rsidRPr="003B2044">
        <w:rPr>
          <w:rFonts w:ascii="Averta" w:hAnsi="Averta" w:cs="Arial"/>
          <w:bCs/>
          <w:color w:val="402121"/>
          <w:sz w:val="21"/>
        </w:rPr>
        <w:t xml:space="preserve">policy </w:t>
      </w:r>
      <w:r w:rsidRPr="003B2044">
        <w:rPr>
          <w:rFonts w:ascii="Averta" w:hAnsi="Averta" w:cs="Arial"/>
          <w:bCs/>
          <w:color w:val="402121"/>
          <w:spacing w:val="-2"/>
          <w:sz w:val="21"/>
        </w:rPr>
        <w:t xml:space="preserve">for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responsible </w:t>
      </w:r>
      <w:r w:rsidRPr="003B2044">
        <w:rPr>
          <w:rFonts w:ascii="Averta" w:hAnsi="Averta" w:cs="Arial"/>
          <w:bCs/>
          <w:color w:val="402121"/>
          <w:sz w:val="21"/>
        </w:rPr>
        <w:t xml:space="preserve">multiple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sclerosis </w:t>
      </w:r>
      <w:r w:rsidRPr="003B2044">
        <w:rPr>
          <w:rFonts w:ascii="Averta" w:hAnsi="Averta" w:cs="Arial"/>
          <w:bCs/>
          <w:color w:val="402121"/>
          <w:sz w:val="21"/>
        </w:rPr>
        <w:t xml:space="preserve">(MS) drug management. </w:t>
      </w:r>
      <w:r w:rsidRPr="003B2044">
        <w:rPr>
          <w:rFonts w:ascii="Averta" w:hAnsi="Averta" w:cs="Arial"/>
          <w:bCs/>
          <w:color w:val="402121"/>
          <w:spacing w:val="-7"/>
          <w:sz w:val="21"/>
        </w:rPr>
        <w:t xml:space="preserve">Your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reason(s) </w:t>
      </w:r>
      <w:r w:rsidRPr="003B2044">
        <w:rPr>
          <w:rFonts w:ascii="Averta" w:hAnsi="Averta" w:cs="Arial"/>
          <w:bCs/>
          <w:color w:val="402121"/>
          <w:spacing w:val="-2"/>
          <w:sz w:val="21"/>
        </w:rPr>
        <w:t xml:space="preserve">for </w:t>
      </w:r>
      <w:r w:rsidRPr="003B2044">
        <w:rPr>
          <w:rFonts w:ascii="Averta" w:hAnsi="Averta" w:cs="Arial"/>
          <w:bCs/>
          <w:color w:val="402121"/>
          <w:sz w:val="21"/>
        </w:rPr>
        <w:t xml:space="preserve">the denial </w:t>
      </w:r>
      <w:r w:rsidRPr="003B2044">
        <w:rPr>
          <w:rFonts w:ascii="Averta" w:hAnsi="Averta" w:cs="Arial"/>
          <w:bCs/>
          <w:color w:val="402121"/>
          <w:spacing w:val="-4"/>
          <w:sz w:val="21"/>
        </w:rPr>
        <w:t xml:space="preserve">were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[List 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reason(s)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for the denial]</w:t>
      </w:r>
      <w:r w:rsidRPr="00D003A9">
        <w:rPr>
          <w:rFonts w:ascii="Averta" w:hAnsi="Averta" w:cs="Arial"/>
          <w:color w:val="402121"/>
          <w:sz w:val="21"/>
        </w:rPr>
        <w:t>.</w:t>
      </w:r>
    </w:p>
    <w:p w:rsidRPr="003B2044" w:rsidR="00327884" w:rsidP="005E05D6" w:rsidRDefault="00181475" w14:paraId="438FB28C" w14:textId="77777777">
      <w:pPr>
        <w:spacing w:before="100" w:line="280" w:lineRule="exact"/>
        <w:ind w:left="274" w:right="310"/>
        <w:rPr>
          <w:rFonts w:ascii="Averta" w:hAnsi="Averta" w:cs="Arial"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[Patient’s Name]</w:t>
      </w:r>
      <w:r w:rsidRPr="003B2044">
        <w:rPr>
          <w:rFonts w:ascii="Averta" w:hAnsi="Averta" w:cs="Arial"/>
          <w:bCs/>
          <w:color w:val="008AB0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 xml:space="preserve">is </w:t>
      </w:r>
      <w:r w:rsidRPr="00FA32A0">
        <w:rPr>
          <w:rFonts w:ascii="Averta Semibold" w:hAnsi="Averta Semibold" w:cs="Arial"/>
          <w:b/>
          <w:bCs/>
          <w:color w:val="008AB0"/>
          <w:spacing w:val="-6"/>
          <w:sz w:val="21"/>
        </w:rPr>
        <w:t xml:space="preserve">[a/an]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[age]</w:t>
      </w:r>
      <w:r w:rsidRPr="00D003A9">
        <w:rPr>
          <w:rFonts w:ascii="Averta" w:hAnsi="Averta" w:cs="Arial"/>
          <w:color w:val="402121"/>
          <w:spacing w:val="-3"/>
          <w:sz w:val="21"/>
        </w:rPr>
        <w:t>-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year-old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[male/female]</w:t>
      </w:r>
      <w:r w:rsidRPr="003B2044">
        <w:rPr>
          <w:rFonts w:ascii="Averta" w:hAnsi="Averta" w:cs="Arial"/>
          <w:bCs/>
          <w:color w:val="008AB0"/>
          <w:spacing w:val="-3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 xml:space="preserve">patient who has been diagnosed with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relapsing </w:t>
      </w:r>
      <w:r w:rsidRPr="003B2044">
        <w:rPr>
          <w:rFonts w:ascii="Averta" w:hAnsi="Averta" w:cs="Arial"/>
          <w:bCs/>
          <w:color w:val="402121"/>
          <w:sz w:val="21"/>
        </w:rPr>
        <w:t xml:space="preserve">multiple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sclerosis </w:t>
      </w:r>
      <w:r w:rsidRPr="003B2044">
        <w:rPr>
          <w:rFonts w:ascii="Averta" w:hAnsi="Averta" w:cs="Arial"/>
          <w:bCs/>
          <w:color w:val="402121"/>
          <w:sz w:val="21"/>
        </w:rPr>
        <w:t xml:space="preserve">(RMS) as of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[Date]</w:t>
      </w:r>
      <w:r w:rsidRPr="00D003A9">
        <w:rPr>
          <w:rFonts w:ascii="Averta" w:hAnsi="Averta" w:cs="Arial"/>
          <w:color w:val="402121"/>
          <w:spacing w:val="-3"/>
          <w:sz w:val="21"/>
        </w:rPr>
        <w:t>.</w:t>
      </w:r>
      <w:r w:rsidRPr="00FA32A0">
        <w:rPr>
          <w:rFonts w:ascii="Averta Semibold" w:hAnsi="Averta Semibold" w:cs="Arial"/>
          <w:b/>
          <w:bCs/>
          <w:color w:val="402121"/>
          <w:spacing w:val="-3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[He/She]</w:t>
      </w:r>
      <w:r w:rsidRPr="003B2044">
        <w:rPr>
          <w:rFonts w:ascii="Averta" w:hAnsi="Averta" w:cs="Arial"/>
          <w:bCs/>
          <w:color w:val="008AB0"/>
          <w:spacing w:val="-3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 xml:space="preserve">has been in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my care </w:t>
      </w:r>
      <w:r w:rsidRPr="003B2044">
        <w:rPr>
          <w:rFonts w:ascii="Averta" w:hAnsi="Averta" w:cs="Arial"/>
          <w:bCs/>
          <w:color w:val="402121"/>
          <w:sz w:val="21"/>
        </w:rPr>
        <w:t xml:space="preserve">since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[Date]</w:t>
      </w:r>
      <w:r w:rsidRPr="00D003A9">
        <w:rPr>
          <w:rFonts w:ascii="Averta" w:hAnsi="Averta" w:cs="Arial"/>
          <w:color w:val="402121"/>
          <w:spacing w:val="-3"/>
          <w:sz w:val="21"/>
        </w:rPr>
        <w:t>.</w:t>
      </w:r>
    </w:p>
    <w:p w:rsidRPr="00FA32A0" w:rsidR="00327884" w:rsidP="005E05D6" w:rsidRDefault="00181475" w14:paraId="7AC17494" w14:textId="1E64AA35">
      <w:pPr>
        <w:spacing w:before="100" w:line="280" w:lineRule="exact"/>
        <w:ind w:left="274" w:right="310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[Include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relevant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medical information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to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support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your 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reason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for 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treatment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with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KESIMPTA.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An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example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may include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evidence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that the patient's RMS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symptoms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and 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disabilities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have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been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progressing despite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his/her current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therapies.</w:t>
      </w:r>
    </w:p>
    <w:p w:rsidRPr="00FA32A0" w:rsidR="00327884" w:rsidP="005E05D6" w:rsidRDefault="00181475" w14:paraId="6AA25C28" w14:textId="77777777">
      <w:pPr>
        <w:spacing w:before="104" w:line="280" w:lineRule="exact"/>
        <w:ind w:left="276" w:right="310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Additional information may include:</w:t>
      </w:r>
    </w:p>
    <w:p w:rsidRPr="00FA32A0" w:rsidR="00327884" w:rsidP="005E05D6" w:rsidRDefault="00181475" w14:paraId="71B65740" w14:textId="77777777">
      <w:pPr>
        <w:pStyle w:val="ListParagraph"/>
        <w:numPr>
          <w:ilvl w:val="0"/>
          <w:numId w:val="1"/>
        </w:numPr>
        <w:tabs>
          <w:tab w:val="left" w:pos="418"/>
        </w:tabs>
        <w:spacing w:line="280" w:lineRule="exact"/>
        <w:ind w:hanging="142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Supporting information as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requested </w:t>
      </w:r>
      <w:r w:rsidRPr="00FA32A0">
        <w:rPr>
          <w:rFonts w:ascii="Averta Semibold" w:hAnsi="Averta Semibold" w:cs="Arial"/>
          <w:b/>
          <w:bCs/>
          <w:color w:val="008AB0"/>
          <w:spacing w:val="-5"/>
          <w:sz w:val="21"/>
        </w:rPr>
        <w:t xml:space="preserve">by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the plan in its denial</w:t>
      </w:r>
      <w:r w:rsidRPr="00FA32A0">
        <w:rPr>
          <w:rFonts w:ascii="Averta Semibold" w:hAnsi="Averta Semibold" w:cs="Arial"/>
          <w:b/>
          <w:bCs/>
          <w:color w:val="008AB0"/>
          <w:spacing w:val="-28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letter</w:t>
      </w:r>
    </w:p>
    <w:p w:rsidRPr="00FA32A0" w:rsidR="00327884" w:rsidP="005E05D6" w:rsidRDefault="00181475" w14:paraId="7B3E2197" w14:textId="77777777">
      <w:pPr>
        <w:pStyle w:val="ListParagraph"/>
        <w:numPr>
          <w:ilvl w:val="0"/>
          <w:numId w:val="1"/>
        </w:numPr>
        <w:tabs>
          <w:tab w:val="left" w:pos="418"/>
        </w:tabs>
        <w:spacing w:before="100" w:line="280" w:lineRule="exact"/>
        <w:ind w:hanging="142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Clinical attributes of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KESIMPTA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and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relevance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to</w:t>
      </w:r>
      <w:r w:rsidRPr="00FA32A0">
        <w:rPr>
          <w:rFonts w:ascii="Averta Semibold" w:hAnsi="Averta Semibold" w:cs="Arial"/>
          <w:b/>
          <w:bCs/>
          <w:color w:val="008AB0"/>
          <w:spacing w:val="-16"/>
          <w:sz w:val="21"/>
        </w:rPr>
        <w:t xml:space="preserve">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patient]</w:t>
      </w:r>
    </w:p>
    <w:p w:rsidRPr="003B2044" w:rsidR="002920B2" w:rsidP="00FA32A0" w:rsidRDefault="00181475" w14:paraId="4EE26831" w14:textId="77777777">
      <w:pPr>
        <w:tabs>
          <w:tab w:val="left" w:pos="11022"/>
          <w:tab w:val="left" w:pos="11076"/>
        </w:tabs>
        <w:spacing w:before="100" w:after="120" w:line="280" w:lineRule="exact"/>
        <w:ind w:left="272" w:right="301"/>
        <w:rPr>
          <w:rFonts w:ascii="Averta" w:hAnsi="Averta" w:cs="Arial"/>
          <w:bCs/>
          <w:color w:val="402121"/>
          <w:sz w:val="21"/>
        </w:rPr>
      </w:pP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History </w:t>
      </w:r>
      <w:r w:rsidRPr="003B2044">
        <w:rPr>
          <w:rFonts w:ascii="Averta" w:hAnsi="Averta" w:cs="Arial"/>
          <w:bCs/>
          <w:color w:val="402121"/>
          <w:sz w:val="21"/>
        </w:rPr>
        <w:t xml:space="preserve">of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>previous</w:t>
      </w:r>
      <w:r w:rsidRPr="003B2044">
        <w:rPr>
          <w:rFonts w:ascii="Averta" w:hAnsi="Averta" w:cs="Arial"/>
          <w:bCs/>
          <w:color w:val="402121"/>
          <w:spacing w:val="3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 xml:space="preserve">MS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therapies: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ab/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ab/>
      </w:r>
    </w:p>
    <w:p w:rsidRPr="003B2044" w:rsidR="002920B2" w:rsidP="005E05D6" w:rsidRDefault="00181475" w14:paraId="24A57D7A" w14:textId="77777777">
      <w:pPr>
        <w:tabs>
          <w:tab w:val="left" w:pos="11022"/>
          <w:tab w:val="left" w:pos="11076"/>
        </w:tabs>
        <w:spacing w:before="100" w:after="120" w:line="280" w:lineRule="exact"/>
        <w:ind w:left="274" w:right="302"/>
        <w:rPr>
          <w:rFonts w:ascii="Averta" w:hAnsi="Averta" w:cs="Arial"/>
          <w:bCs/>
          <w:color w:val="402121"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 xml:space="preserve">Reasons </w:t>
      </w:r>
      <w:r w:rsidRPr="003B2044">
        <w:rPr>
          <w:rFonts w:ascii="Averta" w:hAnsi="Averta" w:cs="Arial"/>
          <w:bCs/>
          <w:color w:val="402121"/>
          <w:spacing w:val="-2"/>
          <w:sz w:val="21"/>
        </w:rPr>
        <w:t xml:space="preserve">for </w:t>
      </w:r>
      <w:r w:rsidRPr="003B2044">
        <w:rPr>
          <w:rFonts w:ascii="Averta" w:hAnsi="Averta" w:cs="Arial"/>
          <w:bCs/>
          <w:color w:val="402121"/>
          <w:sz w:val="21"/>
        </w:rPr>
        <w:t>discontinuation of</w:t>
      </w:r>
      <w:r w:rsidRPr="003B2044">
        <w:rPr>
          <w:rFonts w:ascii="Averta" w:hAnsi="Averta" w:cs="Arial"/>
          <w:bCs/>
          <w:color w:val="402121"/>
          <w:spacing w:val="-35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>previous</w:t>
      </w:r>
      <w:r w:rsidRPr="003B2044">
        <w:rPr>
          <w:rFonts w:ascii="Averta" w:hAnsi="Averta" w:cs="Arial"/>
          <w:bCs/>
          <w:color w:val="402121"/>
          <w:spacing w:val="-9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therapies: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ab/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ab/>
      </w:r>
    </w:p>
    <w:p w:rsidR="00327884" w:rsidP="00D83B1A" w:rsidRDefault="00181475" w14:paraId="199B9B10" w14:textId="7BCB6E4F">
      <w:pPr>
        <w:tabs>
          <w:tab w:val="left" w:pos="11022"/>
          <w:tab w:val="left" w:pos="11076"/>
        </w:tabs>
        <w:spacing w:before="100" w:after="120" w:line="288" w:lineRule="auto"/>
        <w:ind w:left="272" w:right="301"/>
        <w:rPr>
          <w:rFonts w:ascii="Averta" w:hAnsi="Averta" w:cs="Arial"/>
          <w:bCs/>
          <w:color w:val="402121"/>
          <w:sz w:val="21"/>
          <w:u w:val="single" w:color="402121"/>
        </w:rPr>
      </w:pP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Duration </w:t>
      </w:r>
      <w:r w:rsidRPr="003B2044">
        <w:rPr>
          <w:rFonts w:ascii="Averta" w:hAnsi="Averta" w:cs="Arial"/>
          <w:bCs/>
          <w:color w:val="402121"/>
          <w:sz w:val="21"/>
        </w:rPr>
        <w:t xml:space="preserve">of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>previous</w:t>
      </w:r>
      <w:r w:rsidRPr="003B2044">
        <w:rPr>
          <w:rFonts w:ascii="Averta" w:hAnsi="Averta" w:cs="Arial"/>
          <w:bCs/>
          <w:color w:val="402121"/>
          <w:spacing w:val="11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therapies: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  <w:u w:val="single" w:color="402121"/>
        </w:rPr>
        <w:tab/>
      </w:r>
      <w:r w:rsidRPr="003B2044" w:rsidR="002920B2">
        <w:rPr>
          <w:rFonts w:ascii="Averta" w:hAnsi="Averta" w:cs="Arial"/>
          <w:bCs/>
          <w:color w:val="402121"/>
          <w:sz w:val="21"/>
          <w:u w:val="single" w:color="402121"/>
        </w:rPr>
        <w:t xml:space="preserve"> </w:t>
      </w:r>
    </w:p>
    <w:p w:rsidRPr="00DA5ED3" w:rsidR="00327884" w:rsidP="00DA5ED3" w:rsidRDefault="00181475" w14:paraId="01987C60" w14:textId="32A5F24A">
      <w:pPr>
        <w:spacing w:before="100" w:line="276" w:lineRule="auto"/>
        <w:ind w:left="274" w:right="221"/>
        <w:rPr>
          <w:rFonts w:ascii="Averta" w:hAnsi="Averta" w:cs="Arial"/>
          <w:bCs/>
          <w:color w:val="402121"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 xml:space="preserve">This is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my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[level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of request]</w:t>
      </w:r>
      <w:r w:rsidRPr="003B2044">
        <w:rPr>
          <w:rFonts w:ascii="Averta" w:hAnsi="Averta" w:cs="Arial"/>
          <w:bCs/>
          <w:color w:val="008AB0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 xml:space="preserve">letter of appeal. A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copy </w:t>
      </w:r>
      <w:r w:rsidRPr="003B2044">
        <w:rPr>
          <w:rFonts w:ascii="Averta" w:hAnsi="Averta" w:cs="Arial"/>
          <w:bCs/>
          <w:color w:val="402121"/>
          <w:sz w:val="21"/>
        </w:rPr>
        <w:t xml:space="preserve">of the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[level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of denial]</w:t>
      </w:r>
      <w:r w:rsidRPr="003B2044">
        <w:rPr>
          <w:rFonts w:ascii="Averta" w:hAnsi="Averta" w:cs="Arial"/>
          <w:bCs/>
          <w:color w:val="008AB0"/>
          <w:sz w:val="21"/>
        </w:rPr>
        <w:t xml:space="preserve"> </w:t>
      </w:r>
      <w:r w:rsidRPr="003B2044">
        <w:rPr>
          <w:rFonts w:ascii="Averta" w:hAnsi="Averta" w:cs="Arial"/>
          <w:bCs/>
          <w:color w:val="402121"/>
          <w:sz w:val="21"/>
        </w:rPr>
        <w:t>denial letter is included along with</w:t>
      </w:r>
      <w:r w:rsidR="00DA5ED3">
        <w:rPr>
          <w:rFonts w:ascii="Averta" w:hAnsi="Averta" w:cs="Arial"/>
          <w:bCs/>
          <w:color w:val="402121"/>
          <w:sz w:val="21"/>
        </w:rPr>
        <w:br/>
      </w:r>
      <w:r w:rsidRPr="003B2044">
        <w:rPr>
          <w:rFonts w:ascii="Averta" w:hAnsi="Averta" w:cs="Arial"/>
          <w:bCs/>
          <w:color w:val="402121"/>
          <w:sz w:val="21"/>
        </w:rPr>
        <w:t xml:space="preserve">medical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notes </w:t>
      </w:r>
      <w:r w:rsidRPr="003B2044">
        <w:rPr>
          <w:rFonts w:ascii="Averta" w:hAnsi="Averta" w:cs="Arial"/>
          <w:bCs/>
          <w:color w:val="402121"/>
          <w:sz w:val="21"/>
        </w:rPr>
        <w:t xml:space="preserve">in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response to </w:t>
      </w:r>
      <w:r w:rsidRPr="003B2044">
        <w:rPr>
          <w:rFonts w:ascii="Averta" w:hAnsi="Averta" w:cs="Arial"/>
          <w:bCs/>
          <w:color w:val="402121"/>
          <w:sz w:val="21"/>
        </w:rPr>
        <w:t xml:space="preserve">the denial. Based on the patient’s condition and medical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history, </w:t>
      </w:r>
      <w:r w:rsidRPr="003B2044">
        <w:rPr>
          <w:rFonts w:ascii="Averta" w:hAnsi="Averta" w:cs="Arial"/>
          <w:bCs/>
          <w:color w:val="402121"/>
          <w:sz w:val="21"/>
        </w:rPr>
        <w:t xml:space="preserve">as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well </w:t>
      </w:r>
      <w:r w:rsidRPr="003B2044">
        <w:rPr>
          <w:rFonts w:ascii="Averta" w:hAnsi="Averta" w:cs="Arial"/>
          <w:bCs/>
          <w:color w:val="402121"/>
          <w:sz w:val="21"/>
        </w:rPr>
        <w:t xml:space="preserve">as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my experience </w:t>
      </w:r>
      <w:r w:rsidRPr="003B2044">
        <w:rPr>
          <w:rFonts w:ascii="Averta" w:hAnsi="Averta" w:cs="Arial"/>
          <w:bCs/>
          <w:color w:val="402121"/>
          <w:sz w:val="21"/>
        </w:rPr>
        <w:t xml:space="preserve">in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treating </w:t>
      </w:r>
      <w:r w:rsidRPr="003B2044">
        <w:rPr>
          <w:rFonts w:ascii="Averta" w:hAnsi="Averta" w:cs="Arial"/>
          <w:bCs/>
          <w:color w:val="402121"/>
          <w:sz w:val="21"/>
        </w:rPr>
        <w:t xml:space="preserve">patients with </w:t>
      </w:r>
      <w:r w:rsidRPr="003B2044">
        <w:rPr>
          <w:rFonts w:ascii="Averta" w:hAnsi="Averta" w:cs="Arial"/>
          <w:bCs/>
          <w:color w:val="402121"/>
          <w:spacing w:val="-2"/>
          <w:sz w:val="21"/>
        </w:rPr>
        <w:t xml:space="preserve">RMS/MS </w:t>
      </w:r>
      <w:r w:rsidRPr="00DA5ED3">
        <w:rPr>
          <w:rFonts w:ascii="Averta" w:hAnsi="Averta" w:cs="Arial"/>
          <w:color w:val="008AB0"/>
          <w:spacing w:val="-4"/>
          <w:sz w:val="21"/>
        </w:rPr>
        <w:t>[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(ICD-10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code)</w:t>
      </w:r>
      <w:r w:rsidRPr="00DA5ED3">
        <w:rPr>
          <w:rFonts w:ascii="Averta" w:hAnsi="Averta" w:cs="Arial"/>
          <w:color w:val="008AB0"/>
          <w:sz w:val="21"/>
        </w:rPr>
        <w:t>]</w:t>
      </w:r>
      <w:r w:rsidRPr="00DA5ED3">
        <w:rPr>
          <w:rFonts w:ascii="Averta" w:hAnsi="Averta" w:cs="Arial"/>
          <w:color w:val="402121"/>
          <w:sz w:val="21"/>
        </w:rPr>
        <w:t>,</w:t>
      </w:r>
      <w:r w:rsidRPr="003B2044">
        <w:rPr>
          <w:rFonts w:ascii="Averta" w:hAnsi="Averta" w:cs="Arial"/>
          <w:bCs/>
          <w:color w:val="402121"/>
          <w:sz w:val="21"/>
        </w:rPr>
        <w:t xml:space="preserve"> I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believe treatment </w:t>
      </w:r>
      <w:r w:rsidRPr="003B2044">
        <w:rPr>
          <w:rFonts w:ascii="Averta" w:hAnsi="Averta" w:cs="Arial"/>
          <w:bCs/>
          <w:color w:val="402121"/>
          <w:sz w:val="21"/>
        </w:rPr>
        <w:t xml:space="preserve">with </w:t>
      </w:r>
      <w:r w:rsidRPr="003B2044">
        <w:rPr>
          <w:rFonts w:ascii="Averta" w:hAnsi="Averta" w:cs="Arial"/>
          <w:bCs/>
          <w:color w:val="402121"/>
          <w:spacing w:val="-4"/>
          <w:sz w:val="21"/>
        </w:rPr>
        <w:t xml:space="preserve">KESIMPTA </w:t>
      </w:r>
      <w:r w:rsidRPr="003B2044">
        <w:rPr>
          <w:rFonts w:ascii="Averta" w:hAnsi="Averta" w:cs="Arial"/>
          <w:bCs/>
          <w:color w:val="402121"/>
          <w:sz w:val="21"/>
        </w:rPr>
        <w:t xml:space="preserve">is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appropriate </w:t>
      </w:r>
      <w:r w:rsidRPr="003B2044" w:rsidR="006C2C0D">
        <w:rPr>
          <w:rFonts w:ascii="Averta" w:hAnsi="Averta" w:cs="Arial"/>
          <w:bCs/>
          <w:color w:val="402121"/>
          <w:spacing w:val="-3"/>
          <w:sz w:val="21"/>
        </w:rPr>
        <w:br/>
      </w:r>
      <w:r w:rsidRPr="003B2044" w:rsidR="002920B2">
        <w:rPr>
          <w:rFonts w:ascii="Averta" w:hAnsi="Averta" w:cs="Arial"/>
          <w:bCs/>
          <w:color w:val="402121"/>
          <w:sz w:val="21"/>
        </w:rPr>
        <w:t>a</w:t>
      </w:r>
      <w:r w:rsidRPr="003B2044">
        <w:rPr>
          <w:rFonts w:ascii="Averta" w:hAnsi="Averta" w:cs="Arial"/>
          <w:bCs/>
          <w:color w:val="402121"/>
          <w:sz w:val="21"/>
        </w:rPr>
        <w:t xml:space="preserve">nd medically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>necessary.</w:t>
      </w:r>
    </w:p>
    <w:p w:rsidRPr="003B2044" w:rsidR="002920B2" w:rsidP="005E05D6" w:rsidRDefault="00181475" w14:paraId="6EE83D34" w14:textId="70D25777">
      <w:pPr>
        <w:spacing w:before="100" w:line="280" w:lineRule="exact"/>
        <w:ind w:left="277" w:right="220"/>
        <w:rPr>
          <w:rFonts w:ascii="Averta" w:hAnsi="Averta" w:cs="Arial"/>
          <w:bCs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 xml:space="preserve">If you have any further questions about this matter, please feel free to contact me at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[physician phone number]</w:t>
      </w:r>
      <w:r w:rsidRPr="003B2044" w:rsidR="006C2C0D">
        <w:rPr>
          <w:rFonts w:ascii="Averta" w:hAnsi="Averta" w:cs="Arial"/>
          <w:bCs/>
          <w:color w:val="008AB0"/>
          <w:sz w:val="21"/>
        </w:rPr>
        <w:t xml:space="preserve"> </w:t>
      </w:r>
      <w:r w:rsidRPr="003B2044" w:rsidR="006C2C0D">
        <w:rPr>
          <w:rFonts w:ascii="Averta" w:hAnsi="Averta" w:cs="Arial"/>
          <w:bCs/>
          <w:color w:val="008AB0"/>
          <w:sz w:val="21"/>
        </w:rPr>
        <w:br/>
      </w:r>
      <w:r w:rsidRPr="003B2044">
        <w:rPr>
          <w:rFonts w:ascii="Averta" w:hAnsi="Averta" w:cs="Arial"/>
          <w:bCs/>
          <w:color w:val="402121"/>
          <w:sz w:val="21"/>
        </w:rPr>
        <w:t xml:space="preserve">or via email at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[physician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>email]</w:t>
      </w:r>
      <w:r w:rsidRPr="00D003A9">
        <w:rPr>
          <w:rFonts w:ascii="Averta" w:hAnsi="Averta" w:cs="Arial"/>
          <w:color w:val="402121"/>
          <w:sz w:val="21"/>
        </w:rPr>
        <w:t>.</w:t>
      </w:r>
      <w:r w:rsidRPr="003B2044">
        <w:rPr>
          <w:rFonts w:ascii="Averta" w:hAnsi="Averta" w:cs="Arial"/>
          <w:bCs/>
          <w:color w:val="402121"/>
          <w:sz w:val="21"/>
        </w:rPr>
        <w:t xml:space="preserve"> Thank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you </w:t>
      </w:r>
      <w:r w:rsidRPr="003B2044">
        <w:rPr>
          <w:rFonts w:ascii="Averta" w:hAnsi="Averta" w:cs="Arial"/>
          <w:bCs/>
          <w:color w:val="402121"/>
          <w:spacing w:val="-2"/>
          <w:sz w:val="21"/>
        </w:rPr>
        <w:t xml:space="preserve">for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your </w:t>
      </w:r>
      <w:r w:rsidRPr="003B2044">
        <w:rPr>
          <w:rFonts w:ascii="Averta" w:hAnsi="Averta" w:cs="Arial"/>
          <w:bCs/>
          <w:color w:val="402121"/>
          <w:sz w:val="21"/>
        </w:rPr>
        <w:t xml:space="preserve">time and </w:t>
      </w:r>
      <w:r w:rsidRPr="003B2044">
        <w:rPr>
          <w:rFonts w:ascii="Averta" w:hAnsi="Averta" w:cs="Arial"/>
          <w:bCs/>
          <w:color w:val="402121"/>
          <w:spacing w:val="-3"/>
          <w:sz w:val="21"/>
        </w:rPr>
        <w:t xml:space="preserve">consideration. </w:t>
      </w:r>
    </w:p>
    <w:p w:rsidRPr="003B2044" w:rsidR="00327884" w:rsidP="005E05D6" w:rsidRDefault="00181475" w14:paraId="4E69EBAC" w14:textId="5E80EEFF">
      <w:pPr>
        <w:spacing w:before="100" w:line="280" w:lineRule="exact"/>
        <w:ind w:left="277" w:right="3789"/>
        <w:rPr>
          <w:rFonts w:ascii="Averta" w:hAnsi="Averta" w:cs="Arial"/>
          <w:bCs/>
          <w:color w:val="402121"/>
          <w:spacing w:val="-3"/>
          <w:sz w:val="21"/>
        </w:rPr>
      </w:pPr>
      <w:r w:rsidRPr="003B2044">
        <w:rPr>
          <w:rFonts w:ascii="Averta" w:hAnsi="Averta" w:cs="Arial"/>
          <w:bCs/>
          <w:color w:val="402121"/>
          <w:spacing w:val="-3"/>
          <w:sz w:val="21"/>
        </w:rPr>
        <w:t>Sincerely,</w:t>
      </w:r>
    </w:p>
    <w:p w:rsidRPr="00FA32A0" w:rsidR="00327884" w:rsidP="005E05D6" w:rsidRDefault="00181475" w14:paraId="508316DA" w14:textId="77777777">
      <w:pPr>
        <w:spacing w:before="100" w:line="280" w:lineRule="exact"/>
        <w:ind w:firstLine="277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>[Physician’s signature]</w:t>
      </w:r>
    </w:p>
    <w:p w:rsidRPr="003B2044" w:rsidR="00327884" w:rsidP="005E05D6" w:rsidRDefault="00181475" w14:paraId="50107C37" w14:textId="77777777">
      <w:pPr>
        <w:spacing w:before="100" w:line="280" w:lineRule="exact"/>
        <w:ind w:left="277"/>
        <w:rPr>
          <w:rFonts w:ascii="Averta" w:hAnsi="Averta" w:cs="Arial"/>
          <w:bCs/>
          <w:sz w:val="21"/>
        </w:rPr>
      </w:pPr>
      <w:r w:rsidRPr="003B2044">
        <w:rPr>
          <w:rFonts w:ascii="Averta" w:hAnsi="Averta" w:cs="Arial"/>
          <w:bCs/>
          <w:color w:val="402121"/>
          <w:sz w:val="21"/>
        </w:rPr>
        <w:t>Enclosures</w:t>
      </w:r>
    </w:p>
    <w:p w:rsidRPr="00FA32A0" w:rsidR="00327884" w:rsidP="005E05D6" w:rsidRDefault="00181475" w14:paraId="237A2DB6" w14:textId="0185FE4A">
      <w:pPr>
        <w:spacing w:before="100" w:line="280" w:lineRule="exact"/>
        <w:ind w:left="277" w:right="40"/>
        <w:rPr>
          <w:rFonts w:ascii="Averta Semibold" w:hAnsi="Averta Semibold" w:cs="Arial"/>
          <w:b/>
          <w:bCs/>
          <w:sz w:val="21"/>
        </w:rPr>
      </w:pP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[List and </w:t>
      </w:r>
      <w:r w:rsidRPr="00FA32A0">
        <w:rPr>
          <w:rFonts w:ascii="Averta Semibold" w:hAnsi="Averta Semibold" w:cs="Arial"/>
          <w:b/>
          <w:bCs/>
          <w:color w:val="008AB0"/>
          <w:spacing w:val="-2"/>
          <w:sz w:val="21"/>
        </w:rPr>
        <w:t xml:space="preserve">attach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additional documents, which may include a denial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letter,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Letter of Medical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Necessity, </w:t>
      </w:r>
      <w:r w:rsidRPr="00FA32A0" w:rsidR="006C2C0D">
        <w:rPr>
          <w:rFonts w:ascii="Averta Semibold" w:hAnsi="Averta Semibold" w:cs="Arial"/>
          <w:b/>
          <w:bCs/>
          <w:color w:val="008AB0"/>
          <w:spacing w:val="-3"/>
          <w:sz w:val="21"/>
        </w:rPr>
        <w:br/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Prescribing Information, clinical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notes/medical records,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US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Food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and Drug Administration </w:t>
      </w:r>
      <w:r w:rsidRPr="00FA32A0">
        <w:rPr>
          <w:rFonts w:ascii="Averta Semibold" w:hAnsi="Averta Semibold" w:cs="Arial"/>
          <w:b/>
          <w:bCs/>
          <w:color w:val="008AB0"/>
          <w:spacing w:val="-4"/>
          <w:sz w:val="21"/>
        </w:rPr>
        <w:t xml:space="preserve">approval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 xml:space="preserve">letter, </w:t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or </w:t>
      </w:r>
      <w:r w:rsidRPr="00FA32A0" w:rsidR="006C2C0D">
        <w:rPr>
          <w:rFonts w:ascii="Averta Semibold" w:hAnsi="Averta Semibold" w:cs="Arial"/>
          <w:b/>
          <w:bCs/>
          <w:color w:val="008AB0"/>
          <w:sz w:val="21"/>
        </w:rPr>
        <w:br/>
      </w:r>
      <w:r w:rsidRPr="00FA32A0">
        <w:rPr>
          <w:rFonts w:ascii="Averta Semibold" w:hAnsi="Averta Semibold" w:cs="Arial"/>
          <w:b/>
          <w:bCs/>
          <w:color w:val="008AB0"/>
          <w:sz w:val="21"/>
        </w:rPr>
        <w:t xml:space="preserve">clinical practice </w:t>
      </w:r>
      <w:r w:rsidRPr="00FA32A0">
        <w:rPr>
          <w:rFonts w:ascii="Averta Semibold" w:hAnsi="Averta Semibold" w:cs="Arial"/>
          <w:b/>
          <w:bCs/>
          <w:color w:val="008AB0"/>
          <w:spacing w:val="-3"/>
          <w:sz w:val="21"/>
        </w:rPr>
        <w:t>guidelines.]</w:t>
      </w:r>
    </w:p>
    <w:p w:rsidRPr="003B2044" w:rsidR="00327884" w:rsidP="005E05D6" w:rsidRDefault="00240CA8" w14:paraId="21386FE4" w14:textId="0B7B11CC">
      <w:pPr>
        <w:pStyle w:val="BodyText"/>
        <w:spacing w:before="8"/>
        <w:ind w:left="0"/>
        <w:rPr>
          <w:rFonts w:ascii="Averta" w:hAnsi="Averta" w:cs="Arial"/>
          <w:bCs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BBD8AC" wp14:editId="483DF209">
                <wp:simplePos x="0" y="0"/>
                <wp:positionH relativeFrom="page">
                  <wp:posOffset>342900</wp:posOffset>
                </wp:positionH>
                <wp:positionV relativeFrom="paragraph">
                  <wp:posOffset>154940</wp:posOffset>
                </wp:positionV>
                <wp:extent cx="7091680" cy="857250"/>
                <wp:effectExtent l="0" t="0" r="0" b="0"/>
                <wp:wrapTopAndBottom/>
                <wp:docPr id="999865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857250"/>
                          <a:chOff x="540" y="284"/>
                          <a:chExt cx="11168" cy="1350"/>
                        </a:xfrm>
                      </wpg:grpSpPr>
                      <wps:wsp>
                        <wps:cNvPr id="1044528539" name="Freeform 3"/>
                        <wps:cNvSpPr>
                          <a:spLocks/>
                        </wps:cNvSpPr>
                        <wps:spPr bwMode="auto">
                          <a:xfrm>
                            <a:off x="540" y="284"/>
                            <a:ext cx="11168" cy="1350"/>
                          </a:xfrm>
                          <a:custGeom>
                            <a:avLst/>
                            <a:gdLst>
                              <a:gd name="T0" fmla="+- 0 11467 540"/>
                              <a:gd name="T1" fmla="*/ T0 w 11168"/>
                              <a:gd name="T2" fmla="+- 0 284 284"/>
                              <a:gd name="T3" fmla="*/ 284 h 1350"/>
                              <a:gd name="T4" fmla="+- 0 780 540"/>
                              <a:gd name="T5" fmla="*/ T4 w 11168"/>
                              <a:gd name="T6" fmla="+- 0 284 284"/>
                              <a:gd name="T7" fmla="*/ 284 h 1350"/>
                              <a:gd name="T8" fmla="+- 0 641 540"/>
                              <a:gd name="T9" fmla="*/ T8 w 11168"/>
                              <a:gd name="T10" fmla="+- 0 288 284"/>
                              <a:gd name="T11" fmla="*/ 288 h 1350"/>
                              <a:gd name="T12" fmla="+- 0 570 540"/>
                              <a:gd name="T13" fmla="*/ T12 w 11168"/>
                              <a:gd name="T14" fmla="+- 0 314 284"/>
                              <a:gd name="T15" fmla="*/ 314 h 1350"/>
                              <a:gd name="T16" fmla="+- 0 544 540"/>
                              <a:gd name="T17" fmla="*/ T16 w 11168"/>
                              <a:gd name="T18" fmla="+- 0 385 284"/>
                              <a:gd name="T19" fmla="*/ 385 h 1350"/>
                              <a:gd name="T20" fmla="+- 0 540 540"/>
                              <a:gd name="T21" fmla="*/ T20 w 11168"/>
                              <a:gd name="T22" fmla="+- 0 524 284"/>
                              <a:gd name="T23" fmla="*/ 524 h 1350"/>
                              <a:gd name="T24" fmla="+- 0 540 540"/>
                              <a:gd name="T25" fmla="*/ T24 w 11168"/>
                              <a:gd name="T26" fmla="+- 0 1394 284"/>
                              <a:gd name="T27" fmla="*/ 1394 h 1350"/>
                              <a:gd name="T28" fmla="+- 0 544 540"/>
                              <a:gd name="T29" fmla="*/ T28 w 11168"/>
                              <a:gd name="T30" fmla="+- 0 1533 284"/>
                              <a:gd name="T31" fmla="*/ 1533 h 1350"/>
                              <a:gd name="T32" fmla="+- 0 570 540"/>
                              <a:gd name="T33" fmla="*/ T32 w 11168"/>
                              <a:gd name="T34" fmla="+- 0 1604 284"/>
                              <a:gd name="T35" fmla="*/ 1604 h 1350"/>
                              <a:gd name="T36" fmla="+- 0 641 540"/>
                              <a:gd name="T37" fmla="*/ T36 w 11168"/>
                              <a:gd name="T38" fmla="+- 0 1630 284"/>
                              <a:gd name="T39" fmla="*/ 1630 h 1350"/>
                              <a:gd name="T40" fmla="+- 0 780 540"/>
                              <a:gd name="T41" fmla="*/ T40 w 11168"/>
                              <a:gd name="T42" fmla="+- 0 1634 284"/>
                              <a:gd name="T43" fmla="*/ 1634 h 1350"/>
                              <a:gd name="T44" fmla="+- 0 11467 540"/>
                              <a:gd name="T45" fmla="*/ T44 w 11168"/>
                              <a:gd name="T46" fmla="+- 0 1634 284"/>
                              <a:gd name="T47" fmla="*/ 1634 h 1350"/>
                              <a:gd name="T48" fmla="+- 0 11606 540"/>
                              <a:gd name="T49" fmla="*/ T48 w 11168"/>
                              <a:gd name="T50" fmla="+- 0 1630 284"/>
                              <a:gd name="T51" fmla="*/ 1630 h 1350"/>
                              <a:gd name="T52" fmla="+- 0 11677 540"/>
                              <a:gd name="T53" fmla="*/ T52 w 11168"/>
                              <a:gd name="T54" fmla="+- 0 1604 284"/>
                              <a:gd name="T55" fmla="*/ 1604 h 1350"/>
                              <a:gd name="T56" fmla="+- 0 11703 540"/>
                              <a:gd name="T57" fmla="*/ T56 w 11168"/>
                              <a:gd name="T58" fmla="+- 0 1533 284"/>
                              <a:gd name="T59" fmla="*/ 1533 h 1350"/>
                              <a:gd name="T60" fmla="+- 0 11707 540"/>
                              <a:gd name="T61" fmla="*/ T60 w 11168"/>
                              <a:gd name="T62" fmla="+- 0 1394 284"/>
                              <a:gd name="T63" fmla="*/ 1394 h 1350"/>
                              <a:gd name="T64" fmla="+- 0 11707 540"/>
                              <a:gd name="T65" fmla="*/ T64 w 11168"/>
                              <a:gd name="T66" fmla="+- 0 524 284"/>
                              <a:gd name="T67" fmla="*/ 524 h 1350"/>
                              <a:gd name="T68" fmla="+- 0 11703 540"/>
                              <a:gd name="T69" fmla="*/ T68 w 11168"/>
                              <a:gd name="T70" fmla="+- 0 385 284"/>
                              <a:gd name="T71" fmla="*/ 385 h 1350"/>
                              <a:gd name="T72" fmla="+- 0 11677 540"/>
                              <a:gd name="T73" fmla="*/ T72 w 11168"/>
                              <a:gd name="T74" fmla="+- 0 314 284"/>
                              <a:gd name="T75" fmla="*/ 314 h 1350"/>
                              <a:gd name="T76" fmla="+- 0 11606 540"/>
                              <a:gd name="T77" fmla="*/ T76 w 11168"/>
                              <a:gd name="T78" fmla="+- 0 288 284"/>
                              <a:gd name="T79" fmla="*/ 288 h 1350"/>
                              <a:gd name="T80" fmla="+- 0 11467 540"/>
                              <a:gd name="T81" fmla="*/ T80 w 11168"/>
                              <a:gd name="T82" fmla="+- 0 284 284"/>
                              <a:gd name="T83" fmla="*/ 284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68" h="1350">
                                <a:moveTo>
                                  <a:pt x="1092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110"/>
                                </a:lnTo>
                                <a:lnTo>
                                  <a:pt x="4" y="1249"/>
                                </a:lnTo>
                                <a:lnTo>
                                  <a:pt x="30" y="1320"/>
                                </a:lnTo>
                                <a:lnTo>
                                  <a:pt x="101" y="1346"/>
                                </a:lnTo>
                                <a:lnTo>
                                  <a:pt x="240" y="1350"/>
                                </a:lnTo>
                                <a:lnTo>
                                  <a:pt x="10927" y="1350"/>
                                </a:lnTo>
                                <a:lnTo>
                                  <a:pt x="11066" y="1346"/>
                                </a:lnTo>
                                <a:lnTo>
                                  <a:pt x="11137" y="1320"/>
                                </a:lnTo>
                                <a:lnTo>
                                  <a:pt x="11163" y="1249"/>
                                </a:lnTo>
                                <a:lnTo>
                                  <a:pt x="11167" y="1110"/>
                                </a:lnTo>
                                <a:lnTo>
                                  <a:pt x="11167" y="240"/>
                                </a:lnTo>
                                <a:lnTo>
                                  <a:pt x="11163" y="101"/>
                                </a:lnTo>
                                <a:lnTo>
                                  <a:pt x="11137" y="30"/>
                                </a:lnTo>
                                <a:lnTo>
                                  <a:pt x="11066" y="4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6408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284"/>
                            <a:ext cx="11168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A32A0" w:rsidR="00327884" w:rsidP="002920B2" w:rsidRDefault="00181475" w14:paraId="1C684FEB" w14:textId="77777777">
                              <w:pPr>
                                <w:spacing w:before="136" w:line="280" w:lineRule="exact"/>
                                <w:ind w:left="187"/>
                                <w:rPr>
                                  <w:rFonts w:ascii="Averta" w:hAnsi="Averta" w:cs="Arial"/>
                                  <w:sz w:val="21"/>
                                </w:rPr>
                              </w:pP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This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letter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provided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as an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example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is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meant for educational purposes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only.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Novartis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cannot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guarantee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insurance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coverage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or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reimbursement.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Coverage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reimbursement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may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vary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significantly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by payer,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plan, patient,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setting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care.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It is the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sole responsibility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the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health care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provider to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include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proper information and ensure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accuracy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all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statements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used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in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>seeking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 coverage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reimbursement for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 </w:t>
                              </w:r>
                              <w:r w:rsidRPr="00FA32A0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>individual patient.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6BB7B1">
              <v:group id="Group 2" style="position:absolute;margin-left:27pt;margin-top:12.2pt;width:558.4pt;height:67.5pt;z-index:-251657216;mso-wrap-distance-left:0;mso-wrap-distance-right:0;mso-position-horizontal-relative:page" coordsize="11168,1350" coordorigin="540,284" o:spid="_x0000_s1026" w14:anchorId="01BBD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">
                <v:shape id="Freeform 3" style="position:absolute;left:540;top:284;width:11168;height:1350;visibility:visible;mso-wrap-style:square;v-text-anchor:top" coordsize="11168,1350" o:spid="_x0000_s1027" fillcolor="#e5f3f7" stroked="f" path="m10927,l240,,101,4,30,30,4,101,,240r,870l4,1249r26,71l101,1346r139,4l10927,1350r139,-4l11137,1320r26,-71l11167,1110r,-870l11163,101r-26,-71l11066,4,109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">
                  <v:path arrowok="t" o:connecttype="custom" o:connectlocs="10927,284;240,284;101,288;30,314;4,385;0,524;0,1394;4,1533;30,1604;101,1630;240,1634;10927,1634;11066,1630;11137,1604;11163,1533;11167,1394;11167,524;11163,385;11137,314;11066,288;10927,28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540;top:284;width:11168;height:135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">
                  <v:textbox inset="0,0,0,0">
                    <w:txbxContent>
                      <w:p w:rsidRPr="00FA32A0" w:rsidR="00327884" w:rsidP="002920B2" w:rsidRDefault="00181475" w14:paraId="4CF79057" w14:textId="77777777">
                        <w:pPr>
                          <w:spacing w:before="136" w:line="280" w:lineRule="exact"/>
                          <w:ind w:left="187"/>
                          <w:rPr>
                            <w:rFonts w:ascii="Averta" w:hAnsi="Averta" w:cs="Arial"/>
                            <w:sz w:val="21"/>
                          </w:rPr>
                        </w:pP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This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letter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provided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as an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example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is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meant for educational purposes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only.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Novartis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cannot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guarantee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insurance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coverage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or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reimbursement.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Coverage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reimbursement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may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vary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significantly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by payer,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plan, patient,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setting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care.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It is the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sole responsibility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the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health care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provider to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include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proper information and ensure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accuracy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all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statements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used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in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>seeking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 coverage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reimbursement for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 </w:t>
                        </w:r>
                        <w:r w:rsidRPr="00FA32A0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>individual patient.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B2044" w:rsidR="00327884" w:rsidP="005E05D6" w:rsidRDefault="00327884" w14:paraId="0D295054" w14:textId="77777777">
      <w:pPr>
        <w:pStyle w:val="BodyText"/>
        <w:spacing w:before="2"/>
        <w:ind w:left="0"/>
        <w:rPr>
          <w:rFonts w:ascii="Averta" w:hAnsi="Averta" w:cs="Arial"/>
          <w:bCs/>
          <w:sz w:val="15"/>
        </w:rPr>
      </w:pPr>
    </w:p>
    <w:p w:rsidRPr="00E44743" w:rsidR="00327884" w:rsidP="005E05D6" w:rsidRDefault="00181475" w14:paraId="04FB5979" w14:textId="77777777">
      <w:pPr>
        <w:spacing w:before="100"/>
        <w:ind w:left="262"/>
        <w:rPr>
          <w:rFonts w:ascii="Averta Semibold" w:hAnsi="Averta Semibold" w:cs="Arial"/>
          <w:b/>
          <w:bCs/>
          <w:sz w:val="20"/>
        </w:rPr>
      </w:pPr>
      <w:r w:rsidRPr="00E44743">
        <w:rPr>
          <w:rFonts w:ascii="Averta Semibold" w:hAnsi="Averta Semibold" w:cs="Arial"/>
          <w:b/>
          <w:bCs/>
          <w:color w:val="402121"/>
          <w:sz w:val="20"/>
        </w:rPr>
        <w:t xml:space="preserve">Click </w:t>
      </w:r>
      <w:hyperlink r:id="rId5">
        <w:r w:rsidRPr="00E44743">
          <w:rPr>
            <w:rFonts w:ascii="Averta Semibold" w:hAnsi="Averta Semibold" w:cs="Arial"/>
            <w:b/>
            <w:bCs/>
            <w:color w:val="402121"/>
            <w:sz w:val="20"/>
            <w:u w:val="single" w:color="402121"/>
          </w:rPr>
          <w:t>here</w:t>
        </w:r>
        <w:r w:rsidRPr="00E44743">
          <w:rPr>
            <w:rFonts w:ascii="Averta Semibold" w:hAnsi="Averta Semibold" w:cs="Arial"/>
            <w:b/>
            <w:bCs/>
            <w:color w:val="402121"/>
            <w:sz w:val="20"/>
          </w:rPr>
          <w:t xml:space="preserve"> </w:t>
        </w:r>
      </w:hyperlink>
      <w:r w:rsidRPr="00E44743">
        <w:rPr>
          <w:rFonts w:ascii="Averta Semibold" w:hAnsi="Averta Semibold" w:cs="Arial"/>
          <w:b/>
          <w:bCs/>
          <w:color w:val="402121"/>
          <w:sz w:val="20"/>
        </w:rPr>
        <w:t>for full Prescribing Information, including Medication Guide.</w:t>
      </w:r>
    </w:p>
    <w:p w:rsidRPr="00A528D1" w:rsidR="00327884" w:rsidRDefault="00327884" w14:paraId="39A417DA" w14:textId="77777777">
      <w:pPr>
        <w:rPr>
          <w:rFonts w:ascii="Arial" w:hAnsi="Arial" w:cs="Arial"/>
          <w:bCs/>
          <w:sz w:val="20"/>
        </w:rPr>
        <w:sectPr w:rsidRPr="00A528D1" w:rsidR="00327884" w:rsidSect="00163B44">
          <w:type w:val="continuous"/>
          <w:pgSz w:w="12240" w:h="15840" w:orient="portrait"/>
          <w:pgMar w:top="640" w:right="420" w:bottom="280" w:left="440" w:header="720" w:footer="720" w:gutter="0"/>
          <w:cols w:space="720"/>
        </w:sectPr>
      </w:pPr>
    </w:p>
    <w:p w:rsidRPr="00DA5ED3" w:rsidR="00C44E89" w:rsidP="00C44E89" w:rsidRDefault="00C44E89" w14:paraId="545465B5" w14:textId="77777777">
      <w:pPr>
        <w:pStyle w:val="Heading1"/>
        <w:spacing w:before="84" w:after="60"/>
        <w:ind w:left="0" w:firstLine="262"/>
        <w:rPr>
          <w:rFonts w:ascii="Averta Extrabold" w:hAnsi="Averta Extrabold" w:cs="Arial"/>
          <w:sz w:val="25"/>
          <w:szCs w:val="25"/>
        </w:rPr>
      </w:pPr>
      <w:r w:rsidRPr="00DA5ED3">
        <w:rPr>
          <w:rFonts w:ascii="Averta Extrabold" w:hAnsi="Averta Extrabold" w:cs="Arial"/>
          <w:color w:val="008AB0"/>
          <w:sz w:val="25"/>
          <w:szCs w:val="25"/>
        </w:rPr>
        <w:t xml:space="preserve">Indication and Important Safety </w:t>
      </w:r>
      <w:r w:rsidRPr="00DA5ED3">
        <w:rPr>
          <w:rFonts w:ascii="Averta Extrabold" w:hAnsi="Averta Extrabold" w:cs="Arial"/>
          <w:color w:val="008AB0"/>
          <w:spacing w:val="-3"/>
          <w:sz w:val="25"/>
          <w:szCs w:val="25"/>
        </w:rPr>
        <w:t>Information</w:t>
      </w:r>
    </w:p>
    <w:p w:rsidRPr="00F6487D" w:rsidR="00C44E89" w:rsidP="00C44E89" w:rsidRDefault="00C44E89" w14:paraId="44CEA98B" w14:textId="77777777">
      <w:pPr>
        <w:ind w:firstLine="262"/>
        <w:rPr>
          <w:rFonts w:ascii="Graphik XCond Semibold" w:hAnsi="Graphik XCond Semibold"/>
          <w:b/>
          <w:bCs/>
          <w:color w:val="008AB0"/>
          <w:sz w:val="21"/>
          <w:szCs w:val="21"/>
        </w:rPr>
      </w:pPr>
      <w:r w:rsidRPr="00F6487D">
        <w:rPr>
          <w:rFonts w:ascii="Graphik XCond Semibold" w:hAnsi="Graphik XCond Semibold"/>
          <w:b/>
          <w:bCs/>
          <w:color w:val="008AB0"/>
          <w:sz w:val="21"/>
          <w:szCs w:val="21"/>
        </w:rPr>
        <w:t>INDICATION</w:t>
      </w:r>
    </w:p>
    <w:p w:rsidRPr="00F6487D" w:rsidR="00C44E89" w:rsidP="00C44E89" w:rsidRDefault="00C44E89" w14:paraId="474B1CB3" w14:textId="77777777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KESIMPTA is indicated for the treatment of relapsing forms of multiple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sclerosis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(MS),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include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clinically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isolated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syndrome,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relapsing-remitting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disease, and active secondary progressive disease, in</w:t>
      </w:r>
      <w:r w:rsidRPr="00F6487D">
        <w:rPr>
          <w:bCs/>
          <w:color w:val="533737"/>
          <w:spacing w:val="-7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adults.</w:t>
      </w:r>
    </w:p>
    <w:p w:rsidRPr="00F6487D" w:rsidR="00C44E89" w:rsidP="00C44E89" w:rsidRDefault="00C44E89" w14:paraId="2798EBC0" w14:textId="77777777">
      <w:pPr>
        <w:rPr>
          <w:color w:val="533737"/>
          <w:sz w:val="21"/>
          <w:szCs w:val="21"/>
        </w:rPr>
      </w:pPr>
    </w:p>
    <w:p w:rsidRPr="00F6487D" w:rsidR="00C44E89" w:rsidP="00C44E89" w:rsidRDefault="00C44E89" w14:paraId="3098EDBB" w14:textId="77777777">
      <w:pPr>
        <w:ind w:firstLine="262"/>
        <w:rPr>
          <w:rFonts w:ascii="Graphik XCond Semibold" w:hAnsi="Graphik XCond Semibold"/>
          <w:b/>
          <w:bCs/>
          <w:color w:val="008AB0"/>
          <w:sz w:val="21"/>
          <w:szCs w:val="21"/>
        </w:rPr>
      </w:pPr>
      <w:r w:rsidRPr="00F6487D">
        <w:rPr>
          <w:rFonts w:ascii="Graphik XCond Semibold" w:hAnsi="Graphik XCond Semibold"/>
          <w:b/>
          <w:bCs/>
          <w:color w:val="008AB0"/>
          <w:sz w:val="21"/>
          <w:szCs w:val="21"/>
        </w:rPr>
        <w:t>IMPORTANT SAFETY INFORMATION</w:t>
      </w:r>
    </w:p>
    <w:p w:rsidRPr="00F6487D" w:rsidR="00C44E89" w:rsidP="00C44E89" w:rsidRDefault="00C44E89" w14:paraId="75E4F59F" w14:textId="77777777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Contraindications</w:t>
      </w:r>
    </w:p>
    <w:p w:rsidRPr="00F6487D" w:rsidR="00C44E89" w:rsidP="3CD1A8A1" w:rsidRDefault="00C44E89" w14:paraId="6BAFDB08" w14:textId="4DEC8969">
      <w:pPr>
        <w:ind w:left="262"/>
        <w:rPr>
          <w:color w:val="533737"/>
          <w:sz w:val="21"/>
          <w:szCs w:val="21"/>
        </w:rPr>
      </w:pPr>
      <w:r w:rsidRPr="3CD1A8A1" w:rsidR="00C44E89">
        <w:rPr>
          <w:color w:val="533737"/>
          <w:sz w:val="21"/>
          <w:szCs w:val="21"/>
        </w:rPr>
        <w:t xml:space="preserve">KESIMPTA is contraindicated in patients with active hepatitis B virus (HBV) </w:t>
      </w:r>
      <w:r w:rsidRPr="3CD1A8A1" w:rsidR="00C44E89">
        <w:rPr>
          <w:color w:val="533737"/>
          <w:sz w:val="21"/>
          <w:szCs w:val="21"/>
        </w:rPr>
        <w:t xml:space="preserve">infection, or history of hypersensitivity to ofatumumab, or life-threatening </w:t>
      </w:r>
      <w:r>
        <w:br/>
      </w:r>
      <w:r w:rsidRPr="3CD1A8A1" w:rsidR="00C44E89">
        <w:rPr>
          <w:color w:val="533737"/>
          <w:sz w:val="21"/>
          <w:szCs w:val="21"/>
        </w:rPr>
        <w:t xml:space="preserve">injection-related reaction to KESIMPTA. Hypersensitivity reactions have </w:t>
      </w:r>
      <w:r>
        <w:br/>
      </w:r>
      <w:r w:rsidRPr="3CD1A8A1" w:rsidR="00C44E89">
        <w:rPr>
          <w:color w:val="533737"/>
          <w:sz w:val="21"/>
          <w:szCs w:val="21"/>
        </w:rPr>
        <w:t>included anaphylaxis and angioedema</w:t>
      </w:r>
      <w:r w:rsidRPr="3CD1A8A1" w:rsidR="00C44E89">
        <w:rPr>
          <w:color w:val="533737"/>
          <w:sz w:val="21"/>
          <w:szCs w:val="21"/>
        </w:rPr>
        <w:t>.</w:t>
      </w:r>
    </w:p>
    <w:p w:rsidRPr="00F6487D" w:rsidR="00C44E89" w:rsidP="00C44E89" w:rsidRDefault="00C44E89" w14:paraId="5472AEED" w14:textId="77777777">
      <w:pPr>
        <w:ind w:left="262"/>
        <w:rPr>
          <w:color w:val="533737"/>
          <w:sz w:val="21"/>
          <w:szCs w:val="21"/>
        </w:rPr>
      </w:pPr>
    </w:p>
    <w:p w:rsidRPr="00F6487D" w:rsidR="00C44E89" w:rsidP="00C44E89" w:rsidRDefault="00C44E89" w14:paraId="4EAD9F07" w14:textId="77777777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Warnings and Precautions</w:t>
      </w:r>
    </w:p>
    <w:p w:rsidRPr="00F6487D" w:rsidR="00C44E89" w:rsidP="00C44E89" w:rsidRDefault="00C44E89" w14:paraId="75BA9CB7" w14:textId="77777777">
      <w:pPr>
        <w:spacing w:line="80" w:lineRule="exact"/>
        <w:rPr>
          <w:rFonts w:ascii="Graphik XCond Medium" w:hAnsi="Graphik XCond Medium"/>
          <w:color w:val="533737"/>
          <w:sz w:val="21"/>
          <w:szCs w:val="21"/>
        </w:rPr>
      </w:pPr>
    </w:p>
    <w:p w:rsidRPr="00F6487D" w:rsidR="00C44E89" w:rsidP="00C44E89" w:rsidRDefault="00C44E89" w14:paraId="131B1C22" w14:textId="77777777">
      <w:pPr>
        <w:ind w:firstLine="262"/>
        <w:rPr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Infections</w:t>
      </w:r>
    </w:p>
    <w:p w:rsidRPr="00F6487D" w:rsidR="00C44E89" w:rsidP="3CD1A8A1" w:rsidRDefault="00C44E89" w14:paraId="1212FD60" w14:textId="5353C520">
      <w:pPr>
        <w:ind w:left="262"/>
        <w:rPr>
          <w:color w:val="533737"/>
          <w:sz w:val="21"/>
          <w:szCs w:val="21"/>
        </w:rPr>
      </w:pPr>
      <w:r w:rsidRPr="3CD1A8A1" w:rsidR="00C44E89">
        <w:rPr>
          <w:color w:val="533737"/>
          <w:sz w:val="21"/>
          <w:szCs w:val="21"/>
        </w:rPr>
        <w:t xml:space="preserve">Serious, including life-threatening or fatal, bacterial, fungal, and new or </w:t>
      </w:r>
      <w:r w:rsidRPr="3CD1A8A1" w:rsidR="00C44E89">
        <w:rPr>
          <w:color w:val="533737"/>
          <w:sz w:val="21"/>
          <w:szCs w:val="21"/>
        </w:rPr>
        <w:t xml:space="preserve">reactivated viral infections have been </w:t>
      </w:r>
      <w:r w:rsidRPr="3CD1A8A1" w:rsidR="00C44E89">
        <w:rPr>
          <w:color w:val="533737"/>
          <w:sz w:val="21"/>
          <w:szCs w:val="21"/>
        </w:rPr>
        <w:t>observed</w:t>
      </w:r>
      <w:r w:rsidRPr="3CD1A8A1" w:rsidR="00C44E89">
        <w:rPr>
          <w:color w:val="533737"/>
          <w:sz w:val="21"/>
          <w:szCs w:val="21"/>
        </w:rPr>
        <w:t xml:space="preserve"> during and following </w:t>
      </w:r>
      <w:r w:rsidRPr="3CD1A8A1" w:rsidR="00C44E89">
        <w:rPr>
          <w:color w:val="533737"/>
          <w:sz w:val="21"/>
          <w:szCs w:val="21"/>
        </w:rPr>
        <w:t>completion of treatment with anti-CD20 B-cell depleting therapies.</w:t>
      </w:r>
      <w:r w:rsidRPr="3CD1A8A1" w:rsidR="00C44E89">
        <w:rPr>
          <w:color w:val="533737"/>
          <w:sz w:val="21"/>
          <w:szCs w:val="21"/>
        </w:rPr>
        <w:t xml:space="preserve"> The </w:t>
      </w:r>
      <w:r>
        <w:br/>
      </w:r>
      <w:r w:rsidRPr="3CD1A8A1" w:rsidR="00C44E89">
        <w:rPr>
          <w:color w:val="533737"/>
          <w:sz w:val="21"/>
          <w:szCs w:val="21"/>
        </w:rPr>
        <w:t xml:space="preserve">overall rate of infections and serious infections in KESIMPTA-treated </w:t>
      </w:r>
      <w:r>
        <w:br/>
      </w:r>
      <w:r w:rsidRPr="3CD1A8A1" w:rsidR="00C44E89">
        <w:rPr>
          <w:color w:val="533737"/>
          <w:sz w:val="21"/>
          <w:szCs w:val="21"/>
        </w:rPr>
        <w:t xml:space="preserve">patients was </w:t>
      </w:r>
      <w:r w:rsidRPr="3CD1A8A1" w:rsidR="00C44E89">
        <w:rPr>
          <w:color w:val="533737"/>
          <w:sz w:val="21"/>
          <w:szCs w:val="21"/>
        </w:rPr>
        <w:t>similar to</w:t>
      </w:r>
      <w:r w:rsidRPr="3CD1A8A1" w:rsidR="00C44E89">
        <w:rPr>
          <w:color w:val="533737"/>
          <w:sz w:val="21"/>
          <w:szCs w:val="21"/>
        </w:rPr>
        <w:t xml:space="preserve"> teriflunomide-treated patients (51.6% vs 52.7%, </w:t>
      </w:r>
      <w:r>
        <w:br/>
      </w:r>
      <w:r w:rsidRPr="3CD1A8A1" w:rsidR="00C44E89">
        <w:rPr>
          <w:color w:val="533737"/>
          <w:sz w:val="21"/>
          <w:szCs w:val="21"/>
        </w:rPr>
        <w:t xml:space="preserve">and 2.5% vs 1.8%, respectively). The most common infections reported by KESIMPTA-treated patients in relapsing MS (RMS) trials included upper </w:t>
      </w:r>
      <w:r>
        <w:br/>
      </w:r>
      <w:r w:rsidRPr="3CD1A8A1" w:rsidR="00C44E89">
        <w:rPr>
          <w:color w:val="533737"/>
          <w:sz w:val="21"/>
          <w:szCs w:val="21"/>
        </w:rPr>
        <w:t xml:space="preserve">respiratory tract infection (39%) and urinary tract infection (10%). Delay </w:t>
      </w:r>
      <w:r>
        <w:br/>
      </w:r>
      <w:r w:rsidRPr="3CD1A8A1" w:rsidR="00C44E89">
        <w:rPr>
          <w:color w:val="533737"/>
          <w:sz w:val="21"/>
          <w:szCs w:val="21"/>
        </w:rPr>
        <w:t>KESIMPTA administration in patients with an active infection until resolved.</w:t>
      </w:r>
    </w:p>
    <w:p w:rsidRPr="00F6487D" w:rsidR="00C44E89" w:rsidP="00C44E89" w:rsidRDefault="00C44E89" w14:paraId="7D8F081D" w14:textId="77777777">
      <w:pPr>
        <w:spacing w:line="80" w:lineRule="exact"/>
        <w:rPr>
          <w:bCs/>
          <w:color w:val="533737"/>
          <w:sz w:val="21"/>
          <w:szCs w:val="21"/>
        </w:rPr>
      </w:pPr>
    </w:p>
    <w:p w:rsidRPr="00F6487D" w:rsidR="00C44E89" w:rsidP="00C44E89" w:rsidRDefault="00C44E89" w14:paraId="7337423C" w14:textId="77777777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Consider the potential increased immunosuppressive effects when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initiating KESIMPTA after an immunosuppressive therapy or initiating an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immunosuppressive therapy after KESIMPTA.</w:t>
      </w:r>
    </w:p>
    <w:p w:rsidRPr="00F6487D" w:rsidR="00C44E89" w:rsidP="00C44E89" w:rsidRDefault="00C44E89" w14:paraId="29F4E1D2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32881007" w14:textId="77777777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Hepatitis B Virus</w:t>
      </w:r>
    </w:p>
    <w:p w:rsidRPr="00F6487D" w:rsidR="00C44E89" w:rsidP="00C44E89" w:rsidRDefault="00C44E89" w14:paraId="28DBB51C" w14:textId="77777777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i/>
          <w:color w:val="533737"/>
          <w:sz w:val="21"/>
          <w:szCs w:val="21"/>
        </w:rPr>
        <w:t>Reactivation</w:t>
      </w:r>
      <w:r w:rsidRPr="00F6487D">
        <w:rPr>
          <w:bCs/>
          <w:color w:val="533737"/>
          <w:sz w:val="21"/>
          <w:szCs w:val="21"/>
        </w:rPr>
        <w:t xml:space="preserve">: No reports of HBV reactivation in patients with MS treated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with KESIMPTA.</w:t>
      </w:r>
      <w:r w:rsidRPr="00F6487D">
        <w:rPr>
          <w:bCs/>
          <w:color w:val="533737"/>
          <w:spacing w:val="-3"/>
          <w:sz w:val="21"/>
          <w:szCs w:val="21"/>
        </w:rPr>
        <w:t xml:space="preserve"> However, </w:t>
      </w:r>
      <w:r w:rsidRPr="00F6487D">
        <w:rPr>
          <w:bCs/>
          <w:color w:val="533737"/>
          <w:sz w:val="21"/>
          <w:szCs w:val="21"/>
        </w:rPr>
        <w:t xml:space="preserve">HBV reactivation, in some cases resulting in fulminant hepatitis, hepatic failure, and death, has occurred in patients treated with ofatumumab at higher intravenous doses for </w:t>
      </w:r>
      <w:r w:rsidRPr="00F6487D">
        <w:rPr>
          <w:bCs/>
          <w:color w:val="533737"/>
          <w:spacing w:val="-3"/>
          <w:sz w:val="21"/>
          <w:szCs w:val="21"/>
        </w:rPr>
        <w:t xml:space="preserve">chronic </w:t>
      </w:r>
      <w:r w:rsidRPr="00F6487D">
        <w:rPr>
          <w:bCs/>
          <w:color w:val="533737"/>
          <w:sz w:val="21"/>
          <w:szCs w:val="21"/>
        </w:rPr>
        <w:t xml:space="preserve">lymphocytic leukemia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(CLL) than the recommended dose in MS and in patients treated with other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anti-CD20 antibodies.</w:t>
      </w:r>
    </w:p>
    <w:p w:rsidRPr="00F6487D" w:rsidR="00C44E89" w:rsidP="00C44E89" w:rsidRDefault="00C44E89" w14:paraId="0FBFC17A" w14:textId="77777777">
      <w:pPr>
        <w:spacing w:line="80" w:lineRule="exact"/>
        <w:rPr>
          <w:bCs/>
          <w:color w:val="533737"/>
          <w:sz w:val="21"/>
          <w:szCs w:val="21"/>
        </w:rPr>
      </w:pPr>
    </w:p>
    <w:p w:rsidRPr="00F6487D" w:rsidR="00C44E89" w:rsidP="3CD1A8A1" w:rsidRDefault="00C44E89" w14:paraId="4A6E11AD" w14:textId="5DBC55C0">
      <w:pPr>
        <w:ind w:left="262"/>
        <w:rPr>
          <w:color w:val="533737"/>
          <w:sz w:val="21"/>
          <w:szCs w:val="21"/>
        </w:rPr>
      </w:pPr>
      <w:r w:rsidRPr="3CD1A8A1" w:rsidR="00C44E89">
        <w:rPr>
          <w:i w:val="1"/>
          <w:iCs w:val="1"/>
          <w:color w:val="533737"/>
          <w:sz w:val="21"/>
          <w:szCs w:val="21"/>
        </w:rPr>
        <w:t>Infection</w:t>
      </w:r>
      <w:r w:rsidRPr="3CD1A8A1" w:rsidR="00C44E89">
        <w:rPr>
          <w:color w:val="533737"/>
          <w:sz w:val="21"/>
          <w:szCs w:val="21"/>
        </w:rPr>
        <w:t xml:space="preserve">: KESIMPTA is contraindicated in patients with active hepatitis B </w:t>
      </w:r>
      <w:r>
        <w:br/>
      </w:r>
      <w:r w:rsidRPr="3CD1A8A1" w:rsidR="00C44E89">
        <w:rPr>
          <w:color w:val="533737"/>
          <w:sz w:val="21"/>
          <w:szCs w:val="21"/>
        </w:rPr>
        <w:t xml:space="preserve">disease. Fatal infections caused by HBV in patients who have not been previously infected have occurred in patients treated with ofatumumab at higher </w:t>
      </w:r>
      <w:r>
        <w:br/>
      </w:r>
      <w:r w:rsidRPr="3CD1A8A1" w:rsidR="00C44E89">
        <w:rPr>
          <w:color w:val="533737"/>
          <w:sz w:val="21"/>
          <w:szCs w:val="21"/>
        </w:rPr>
        <w:t xml:space="preserve">intravenous doses for CLL than the recommended dose in MS. Perform HBV screening in all patients before initiation of KESIMPTA. Patients who are </w:t>
      </w:r>
      <w:r>
        <w:br/>
      </w:r>
      <w:r w:rsidRPr="3CD1A8A1" w:rsidR="00C44E89">
        <w:rPr>
          <w:color w:val="533737"/>
          <w:sz w:val="21"/>
          <w:szCs w:val="21"/>
        </w:rPr>
        <w:t>negative for HBsAg and positive for HB core antibody</w:t>
      </w:r>
      <w:r w:rsidRPr="3CD1A8A1" w:rsidR="00C44E89">
        <w:rPr>
          <w:color w:val="533737"/>
          <w:sz w:val="21"/>
          <w:szCs w:val="21"/>
        </w:rPr>
        <w:t xml:space="preserve"> </w:t>
      </w:r>
      <w:r w:rsidRPr="3CD1A8A1" w:rsidR="00C44E89">
        <w:rPr>
          <w:color w:val="533737"/>
          <w:sz w:val="21"/>
          <w:szCs w:val="21"/>
        </w:rPr>
        <w:t>[</w:t>
      </w:r>
      <w:r w:rsidRPr="3CD1A8A1" w:rsidR="00C44E89">
        <w:rPr>
          <w:color w:val="533737"/>
          <w:sz w:val="21"/>
          <w:szCs w:val="21"/>
        </w:rPr>
        <w:t>HBcAb</w:t>
      </w:r>
      <w:r w:rsidRPr="3CD1A8A1" w:rsidR="00C44E89">
        <w:rPr>
          <w:color w:val="533737"/>
          <w:sz w:val="21"/>
          <w:szCs w:val="21"/>
        </w:rPr>
        <w:t xml:space="preserve">+] or are carriers </w:t>
      </w:r>
      <w:r>
        <w:br/>
      </w:r>
      <w:r w:rsidRPr="3CD1A8A1" w:rsidR="00C44E89">
        <w:rPr>
          <w:color w:val="533737"/>
          <w:sz w:val="21"/>
          <w:szCs w:val="21"/>
        </w:rPr>
        <w:t>of HBV [HBsAg+], should consult liver disease expertsbefore starting and during KESIMPTA treatment.</w:t>
      </w:r>
    </w:p>
    <w:p w:rsidRPr="00F6487D" w:rsidR="00C44E89" w:rsidP="00C44E89" w:rsidRDefault="00C44E89" w14:paraId="7BA90810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1EA7556F" w14:textId="77777777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Progressive Multifocal Leukoencephalopathy</w:t>
      </w:r>
    </w:p>
    <w:p w:rsidR="00C44E89" w:rsidP="00C44E89" w:rsidRDefault="00C44E89" w14:paraId="14855453" w14:textId="77777777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No cases of progressive multifocal leukoencephalopathy (PML) have been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reported for KESIMPTA in RMS clinical studies; however, PML resulting in death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has occurred in patients being treated with ofatumumab at higher intravenous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doses for CLL than the recommended dose in MS. In addition, JC virus infection resulting in PML has also been observed in patients treated with other anti-CD20 antibodies and other MS therapies. If PML is suspected, withhold KESIMPTA and perform an appropriate diagnostic evaluation. If PML is confirmed, KESIMPTA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should be discontinued.</w:t>
      </w:r>
    </w:p>
    <w:p w:rsidRPr="00F6487D" w:rsidR="00C44E89" w:rsidP="00C44E89" w:rsidRDefault="00C44E89" w14:paraId="5A00B530" w14:textId="77777777">
      <w:pPr>
        <w:ind w:left="262"/>
        <w:rPr>
          <w:bCs/>
          <w:color w:val="533737"/>
          <w:sz w:val="21"/>
          <w:szCs w:val="21"/>
        </w:rPr>
      </w:pPr>
    </w:p>
    <w:p w:rsidRPr="00F6487D" w:rsidR="00C44E89" w:rsidP="00C44E89" w:rsidRDefault="00C44E89" w14:paraId="6833E5C0" w14:textId="77777777">
      <w:pPr>
        <w:spacing w:line="80" w:lineRule="exact"/>
        <w:rPr>
          <w:color w:val="533737"/>
          <w:sz w:val="21"/>
          <w:szCs w:val="21"/>
        </w:rPr>
      </w:pPr>
    </w:p>
    <w:p w:rsidR="00C44E89" w:rsidP="00C44E89" w:rsidRDefault="00C44E89" w14:paraId="2A01E57F" w14:textId="77777777">
      <w:pPr>
        <w:rPr>
          <w:rFonts w:ascii="Graphik XCond Medium" w:hAnsi="Graphik XCond Medium"/>
          <w:color w:val="533737"/>
          <w:sz w:val="21"/>
          <w:szCs w:val="21"/>
        </w:rPr>
      </w:pPr>
    </w:p>
    <w:p w:rsidR="00C44E89" w:rsidP="00C44E89" w:rsidRDefault="00C44E89" w14:paraId="25CDFE73" w14:textId="77777777">
      <w:pPr>
        <w:rPr>
          <w:rFonts w:ascii="Graphik XCond Medium" w:hAnsi="Graphik XCond Medium"/>
          <w:color w:val="533737"/>
          <w:sz w:val="21"/>
          <w:szCs w:val="21"/>
        </w:rPr>
      </w:pPr>
    </w:p>
    <w:p w:rsidR="00C44E89" w:rsidP="00C44E89" w:rsidRDefault="00C44E89" w14:paraId="6AA735ED" w14:textId="77777777">
      <w:pPr>
        <w:spacing w:line="144" w:lineRule="auto"/>
        <w:rPr>
          <w:rFonts w:ascii="Graphik XCond Medium" w:hAnsi="Graphik XCond Medium"/>
          <w:color w:val="533737"/>
          <w:sz w:val="21"/>
          <w:szCs w:val="21"/>
        </w:rPr>
      </w:pPr>
    </w:p>
    <w:p w:rsidRPr="00F6487D" w:rsidR="00C44E89" w:rsidP="00C44E89" w:rsidRDefault="00C44E89" w14:paraId="2BCCAF1F" w14:textId="77777777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Vaccinations</w:t>
      </w:r>
    </w:p>
    <w:p w:rsidRPr="00F6487D" w:rsidR="00C44E89" w:rsidP="00C44E89" w:rsidRDefault="00C44E89" w14:paraId="666712EC" w14:textId="77777777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Administer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all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immunizations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according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immunization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 xml:space="preserve">guidelines: for live or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live-attenuated vaccines at least 4 weeks and, whenever possible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at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least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2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weeks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prior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starting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KESIMPTA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for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inactivated vaccines. The safety of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 immunization with live or live-attenuated vaccines following KESIMPTA therapy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has not been studied. Vaccination with live or live-attenuated vaccines is not recommended during treatment and after discontinuation until B-cell repletion.</w:t>
      </w:r>
    </w:p>
    <w:p w:rsidRPr="00F6487D" w:rsidR="00C44E89" w:rsidP="00C44E89" w:rsidRDefault="00C44E89" w14:paraId="1B4DDFB2" w14:textId="77777777">
      <w:pPr>
        <w:spacing w:line="80" w:lineRule="exact"/>
        <w:rPr>
          <w:bCs/>
          <w:i/>
          <w:color w:val="533737"/>
          <w:sz w:val="21"/>
          <w:szCs w:val="21"/>
        </w:rPr>
      </w:pPr>
    </w:p>
    <w:p w:rsidRPr="00F6487D" w:rsidR="00C44E89" w:rsidP="00C44E89" w:rsidRDefault="00C44E89" w14:paraId="158B8217" w14:textId="77777777">
      <w:pPr>
        <w:rPr>
          <w:bCs/>
          <w:i/>
          <w:color w:val="533737"/>
          <w:sz w:val="21"/>
          <w:szCs w:val="21"/>
        </w:rPr>
      </w:pPr>
      <w:r w:rsidRPr="00F6487D">
        <w:rPr>
          <w:bCs/>
          <w:i/>
          <w:color w:val="533737"/>
          <w:sz w:val="21"/>
          <w:szCs w:val="21"/>
        </w:rPr>
        <w:t>Vaccination of Infants Born to Mothers Treated with KESIMPTA During Pregnancy</w:t>
      </w:r>
    </w:p>
    <w:p w:rsidRPr="00F6487D" w:rsidR="00C44E89" w:rsidP="00C44E89" w:rsidRDefault="00C44E89" w14:paraId="240A5857" w14:textId="77777777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For infants whose mother was treated with KESIMPTA during pregnancy, assess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B-cell counts prior to administration of live or live-attenuated vaccines. If the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B-cell count has not recovered in the infant, do not administer the vaccine as having depleted B-cells may pose an increased risk in these infants.</w:t>
      </w:r>
    </w:p>
    <w:p w:rsidRPr="00F6487D" w:rsidR="00C44E89" w:rsidP="00C44E89" w:rsidRDefault="00C44E89" w14:paraId="3BEBCCFC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6023AF0B" w14:textId="77777777">
      <w:pPr>
        <w:rPr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Injection-Related Reactions and Hypersensitivity Reactions</w:t>
      </w:r>
    </w:p>
    <w:p w:rsidRPr="00F6487D" w:rsidR="00C44E89" w:rsidP="00C44E89" w:rsidRDefault="00C44E89" w14:paraId="53FF2E7C" w14:textId="77777777">
      <w:pPr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KESIMPTA can result in systemic injection-related reactions and hypersensitivity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reactions, which may be serious or life-threatening. </w:t>
      </w:r>
      <w:r w:rsidRPr="00F6487D">
        <w:rPr>
          <w:bCs/>
          <w:color w:val="533737"/>
          <w:sz w:val="21"/>
          <w:szCs w:val="21"/>
        </w:rPr>
        <w:t xml:space="preserve">Injection-related reactions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with systemic symptoms occurred most commonly within 24 hours of the first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injection, but were also observed with later injections. There were no life-thre</w:t>
      </w:r>
      <w:r w:rsidRPr="00F6487D">
        <w:rPr>
          <w:bCs/>
          <w:color w:val="533737"/>
          <w:sz w:val="21"/>
          <w:szCs w:val="21"/>
        </w:rPr>
        <w:softHyphen/>
      </w:r>
      <w:r w:rsidRPr="00F6487D">
        <w:rPr>
          <w:bCs/>
          <w:color w:val="533737"/>
          <w:sz w:val="21"/>
          <w:szCs w:val="21"/>
        </w:rPr>
        <w:softHyphen/>
        <w:t>atening injection reactions in RMS clinical studies.</w:t>
      </w:r>
    </w:p>
    <w:p w:rsidRPr="00F6487D" w:rsidR="00C44E89" w:rsidP="00C44E89" w:rsidRDefault="00C44E89" w14:paraId="7FA71DB0" w14:textId="77777777">
      <w:pPr>
        <w:spacing w:line="48" w:lineRule="auto"/>
        <w:rPr>
          <w:bCs/>
          <w:color w:val="533737"/>
          <w:sz w:val="21"/>
          <w:szCs w:val="21"/>
        </w:rPr>
      </w:pPr>
    </w:p>
    <w:p w:rsidRPr="00F6487D" w:rsidR="00C44E89" w:rsidP="00C44E89" w:rsidRDefault="00C44E89" w14:paraId="492AF68D" w14:textId="77777777">
      <w:pPr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In the post-marketing setting, additional systemic injection-related reactions and hypersensitivity reactions have been reported, including anaphylaxis, angioedema, pruritus, rash, urticaria, erythema, bronchospasm, throat irritation, oropharyngeal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pain, dyspnea, pharyngeal or laryngeal edema, flushing, hypotension, dizziness,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nausea, and tachycardia. Most cases were not serious and occurred with the first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>injection. Symptoms of systemic injection-related reactions may be clinically indistinguishable from acute hypersensitivity reactions.</w:t>
      </w:r>
    </w:p>
    <w:p w:rsidRPr="00F6487D" w:rsidR="00C44E89" w:rsidP="00C44E89" w:rsidRDefault="00C44E89" w14:paraId="1041649B" w14:textId="77777777">
      <w:pPr>
        <w:spacing w:line="80" w:lineRule="exact"/>
        <w:rPr>
          <w:bCs/>
          <w:color w:val="533737"/>
          <w:sz w:val="21"/>
          <w:szCs w:val="21"/>
        </w:rPr>
      </w:pPr>
    </w:p>
    <w:p w:rsidRPr="00F6487D" w:rsidR="00C44E89" w:rsidP="00C44E89" w:rsidRDefault="00C44E89" w14:paraId="37BD3892" w14:textId="77777777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The first injection of KESIMPTA should be performed under the </w:t>
      </w:r>
      <w:r w:rsidRPr="00F6487D">
        <w:rPr>
          <w:bCs/>
          <w:color w:val="533737"/>
          <w:spacing w:val="-3"/>
          <w:sz w:val="21"/>
          <w:szCs w:val="21"/>
        </w:rPr>
        <w:t xml:space="preserve">guidance </w:t>
      </w:r>
      <w:r w:rsidRPr="00F6487D">
        <w:rPr>
          <w:bCs/>
          <w:color w:val="533737"/>
          <w:sz w:val="21"/>
          <w:szCs w:val="21"/>
        </w:rPr>
        <w:t xml:space="preserve">of an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appropriately trained health care professional. </w:t>
      </w:r>
      <w:r w:rsidRPr="00F6487D">
        <w:rPr>
          <w:color w:val="533737"/>
          <w:sz w:val="21"/>
          <w:szCs w:val="21"/>
        </w:rPr>
        <w:t xml:space="preserve">If systemic injection-related reactions occur, initiate appropriate therapy. Patients who experience symptoms of systemic injection-related reactions or hypersensitivity reactions with KESIMPTA should be instructed to seek immediate medical attention. If local injection-related reactions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>occur, symptomatic treatment is recommended.</w:t>
      </w:r>
    </w:p>
    <w:p w:rsidRPr="00F6487D" w:rsidR="00C44E89" w:rsidP="00C44E89" w:rsidRDefault="00C44E89" w14:paraId="712FFD99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5920B823" w14:textId="77777777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Reduction in Immunoglobulins</w:t>
      </w:r>
    </w:p>
    <w:p w:rsidRPr="00F6487D" w:rsidR="00C44E89" w:rsidP="00C44E89" w:rsidRDefault="00C44E89" w14:paraId="57450396" w14:textId="77777777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As expected with any B-cell depleting therapy, decreased immunoglobulin levels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were observed. Monitor the levels of quantitative serum immunoglobulins during treatment, especially in patients with opportunistic or recurrent infections and after discontinuation of therapy until B-cell repletion. Consider discontinuing KESIMPTA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therapy if a patient with low immunoglobulins develops a serious opportunistic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infection or recurrent infections, or if prolonged hypogammaglobulinemia requires treatment with intravenous immunoglobulins.</w:t>
      </w:r>
    </w:p>
    <w:p w:rsidRPr="00F6487D" w:rsidR="00C44E89" w:rsidP="00C44E89" w:rsidRDefault="00C44E89" w14:paraId="0DA7686A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6A5D5298" w14:textId="77777777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Fetal Risk</w:t>
      </w:r>
    </w:p>
    <w:p w:rsidRPr="00F6487D" w:rsidR="00C44E89" w:rsidP="00C44E89" w:rsidRDefault="00C44E89" w14:paraId="193671E1" w14:textId="77777777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Based on animal data, KESIMPTA can cause fetal harm due to B-cell lymphopenia 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and reduce antibody response in offspring exposed to KESIMPTA in utero.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Transient peripheral B-cell depletion and lymphocytopenia have been reported in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infants born to mothers exposed to other anti-CD20 B-cell depleting antibodies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during pregnancy. Advise females of reproductive potential to use effective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contraception while receiving KESIMPTA and for at least 6 months after the last dose.</w:t>
      </w:r>
    </w:p>
    <w:p w:rsidRPr="00F6487D" w:rsidR="00C44E89" w:rsidP="00C44E89" w:rsidRDefault="00C44E89" w14:paraId="58BB845A" w14:textId="77777777">
      <w:pPr>
        <w:spacing w:line="80" w:lineRule="exact"/>
        <w:rPr>
          <w:color w:val="533737"/>
          <w:sz w:val="21"/>
          <w:szCs w:val="21"/>
        </w:rPr>
      </w:pPr>
    </w:p>
    <w:p w:rsidRPr="00F6487D" w:rsidR="00C44E89" w:rsidP="00C44E89" w:rsidRDefault="00C44E89" w14:paraId="2CD152B4" w14:textId="77777777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Most common adverse reactions</w:t>
      </w:r>
    </w:p>
    <w:p w:rsidRPr="00F6487D" w:rsidR="00C44E89" w:rsidP="00C44E89" w:rsidRDefault="00C44E89" w14:paraId="755E8D58" w14:textId="77777777">
      <w:pPr>
        <w:rPr>
          <w:bCs/>
          <w:sz w:val="21"/>
          <w:szCs w:val="21"/>
        </w:rPr>
        <w:sectPr w:rsidRPr="00F6487D" w:rsidR="00C44E89" w:rsidSect="00163B44">
          <w:pgSz w:w="12240" w:h="15840" w:orient="portrait"/>
          <w:pgMar w:top="280" w:right="420" w:bottom="0" w:left="440" w:header="720" w:footer="720" w:gutter="0"/>
          <w:cols w:equalWidth="0" w:space="720" w:num="2">
            <w:col w:w="5604" w:space="40"/>
            <w:col w:w="5736"/>
          </w:cols>
        </w:sectPr>
      </w:pPr>
      <w:r w:rsidRPr="00F6487D">
        <w:rPr>
          <w:bCs/>
          <w:color w:val="533737"/>
          <w:sz w:val="21"/>
          <w:szCs w:val="21"/>
        </w:rPr>
        <w:t>(&gt;10%)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are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upper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respiratory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tract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infection,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headache,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injection-related reactions,</w:t>
      </w:r>
      <w:r w:rsidRPr="00F6487D"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and local injection-site</w:t>
      </w:r>
      <w:r w:rsidRPr="00F6487D">
        <w:rPr>
          <w:bCs/>
          <w:color w:val="533737"/>
          <w:spacing w:val="-2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reactions</w:t>
      </w:r>
      <w:r>
        <w:rPr>
          <w:bCs/>
          <w:color w:val="533737"/>
          <w:sz w:val="21"/>
          <w:szCs w:val="21"/>
        </w:rPr>
        <w:t>.</w:t>
      </w:r>
    </w:p>
    <w:p w:rsidRPr="00A528D1" w:rsidR="00C44E89" w:rsidP="00C44E89" w:rsidRDefault="00C44E89" w14:paraId="47614D86" w14:textId="77777777">
      <w:pPr>
        <w:pStyle w:val="BodyText"/>
        <w:ind w:left="-15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65D57075" wp14:editId="234CBD5A">
            <wp:extent cx="1105853" cy="201930"/>
            <wp:effectExtent l="0" t="0" r="0" b="0"/>
            <wp:docPr id="7" name="Picture 7" descr="A close up of a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453" cy="2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89" w:rsidP="00C44E89" w:rsidRDefault="00C44E89" w14:paraId="7AE7DE60" w14:textId="77777777">
      <w:pPr>
        <w:spacing w:before="101" w:line="20" w:lineRule="exact"/>
        <w:rPr>
          <w:rFonts w:ascii="Averta Semibold" w:hAnsi="Averta Semibold" w:cs="Arial"/>
          <w:b/>
          <w:bCs/>
          <w:color w:val="402121"/>
          <w:sz w:val="16"/>
        </w:rPr>
      </w:pPr>
    </w:p>
    <w:p w:rsidRPr="00DC5939" w:rsidR="00C44E89" w:rsidP="00C44E89" w:rsidRDefault="00C44E89" w14:paraId="2C4AFAC4" w14:textId="77777777">
      <w:pPr>
        <w:spacing w:before="101" w:line="185" w:lineRule="exact"/>
        <w:ind w:left="246"/>
        <w:rPr>
          <w:rFonts w:ascii="Averta Semibold" w:hAnsi="Averta Semibold" w:cs="Arial"/>
          <w:b/>
          <w:bCs/>
          <w:sz w:val="16"/>
        </w:rPr>
      </w:pPr>
      <w:r w:rsidRPr="00DC5939">
        <w:rPr>
          <w:rFonts w:ascii="Averta Semibold" w:hAnsi="Averta Semibold" w:cs="Arial"/>
          <w:b/>
          <w:bCs/>
          <w:color w:val="402121"/>
          <w:sz w:val="16"/>
        </w:rPr>
        <w:t>Novartis Pharmaceuticals Corporation</w:t>
      </w:r>
    </w:p>
    <w:p w:rsidRPr="00DC5939" w:rsidR="00C44E89" w:rsidP="00C44E89" w:rsidRDefault="00C44E89" w14:paraId="53830EA3" w14:textId="19CCBF39">
      <w:pPr>
        <w:tabs>
          <w:tab w:val="left" w:pos="4787"/>
          <w:tab w:val="left" w:pos="7837"/>
          <w:tab w:val="left" w:pos="9909"/>
        </w:tabs>
        <w:spacing w:line="185" w:lineRule="exact"/>
        <w:ind w:left="246"/>
        <w:rPr>
          <w:rFonts w:ascii="Arial" w:hAnsi="Arial" w:cs="Arial"/>
          <w:bCs/>
          <w:sz w:val="16"/>
          <w:szCs w:val="16"/>
        </w:rPr>
      </w:pPr>
      <w:r w:rsidRPr="00DC5939">
        <w:rPr>
          <w:rFonts w:ascii="Averta" w:hAnsi="Averta" w:cs="Arial"/>
          <w:bCs/>
          <w:color w:val="402121"/>
          <w:sz w:val="16"/>
        </w:rPr>
        <w:t>East Hanover, New</w:t>
      </w:r>
      <w:r w:rsidRPr="00DC5939">
        <w:rPr>
          <w:rFonts w:ascii="Averta" w:hAnsi="Averta" w:cs="Arial"/>
          <w:bCs/>
          <w:color w:val="402121"/>
          <w:spacing w:val="-20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Jersey</w:t>
      </w:r>
      <w:r w:rsidRPr="00DC5939">
        <w:rPr>
          <w:rFonts w:ascii="Averta" w:hAnsi="Averta" w:cs="Arial"/>
          <w:bCs/>
          <w:color w:val="402121"/>
          <w:spacing w:val="-6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07936-1080</w:t>
      </w:r>
      <w:r w:rsidRPr="00A528D1">
        <w:rPr>
          <w:rFonts w:ascii="Arial" w:hAnsi="Arial" w:cs="Arial"/>
          <w:bCs/>
          <w:color w:val="402121"/>
          <w:sz w:val="16"/>
        </w:rPr>
        <w:tab/>
      </w:r>
      <w:r w:rsidRPr="00DC5939">
        <w:rPr>
          <w:rFonts w:ascii="Averta" w:hAnsi="Averta" w:cs="Arial"/>
          <w:bCs/>
          <w:color w:val="402121"/>
          <w:sz w:val="16"/>
        </w:rPr>
        <w:t>©</w:t>
      </w:r>
      <w:r w:rsidRPr="00DC5939">
        <w:rPr>
          <w:rFonts w:ascii="Averta" w:hAnsi="Averta" w:cs="Arial"/>
          <w:bCs/>
          <w:color w:val="402121"/>
          <w:spacing w:val="-25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2024</w:t>
      </w:r>
      <w:r w:rsidRPr="00DC5939">
        <w:rPr>
          <w:rFonts w:ascii="Averta" w:hAnsi="Averta" w:cs="Arial"/>
          <w:bCs/>
          <w:color w:val="402121"/>
          <w:spacing w:val="-3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Novartis</w:t>
      </w:r>
      <w:r w:rsidRPr="00DC5939">
        <w:rPr>
          <w:rFonts w:ascii="Averta" w:hAnsi="Averta" w:cs="Arial"/>
          <w:bCs/>
          <w:color w:val="402121"/>
          <w:sz w:val="16"/>
        </w:rPr>
        <w:tab/>
      </w:r>
      <w:r>
        <w:rPr>
          <w:rFonts w:ascii="Averta" w:hAnsi="Averta" w:cs="Arial"/>
          <w:bCs/>
          <w:color w:val="402121"/>
          <w:sz w:val="16"/>
        </w:rPr>
        <w:t>4</w:t>
      </w:r>
      <w:r w:rsidRPr="00DC5939">
        <w:rPr>
          <w:rFonts w:ascii="Averta" w:hAnsi="Averta" w:cs="Arial"/>
          <w:bCs/>
          <w:color w:val="402121"/>
          <w:sz w:val="16"/>
        </w:rPr>
        <w:t>/24</w:t>
      </w:r>
      <w:r w:rsidRPr="00DC5939">
        <w:rPr>
          <w:rFonts w:ascii="Averta" w:hAnsi="Averta" w:cs="Arial"/>
          <w:bCs/>
          <w:color w:val="402121"/>
          <w:sz w:val="16"/>
        </w:rPr>
        <w:tab/>
      </w:r>
      <w:r>
        <w:rPr>
          <w:rFonts w:ascii="Averta" w:hAnsi="Averta" w:cs="Arial"/>
          <w:bCs/>
          <w:color w:val="402121"/>
          <w:sz w:val="16"/>
        </w:rPr>
        <w:t xml:space="preserve">    </w:t>
      </w:r>
      <w:r w:rsidRPr="00DC5939">
        <w:rPr>
          <w:rFonts w:ascii="Averta" w:hAnsi="Averta"/>
          <w:sz w:val="16"/>
          <w:szCs w:val="16"/>
        </w:rPr>
        <w:t>4</w:t>
      </w:r>
      <w:r>
        <w:rPr>
          <w:rFonts w:ascii="Averta" w:hAnsi="Averta"/>
          <w:sz w:val="16"/>
          <w:szCs w:val="16"/>
        </w:rPr>
        <w:t>32735</w:t>
      </w:r>
    </w:p>
    <w:p w:rsidRPr="001369E6" w:rsidR="00327884" w:rsidP="00C44E89" w:rsidRDefault="00327884" w14:paraId="2D827B2A" w14:textId="09E5EA26">
      <w:pPr>
        <w:pStyle w:val="Heading1"/>
        <w:spacing w:before="84" w:after="60"/>
        <w:ind w:left="0" w:firstLine="262"/>
        <w:rPr>
          <w:rFonts w:ascii="Averta" w:hAnsi="Averta"/>
        </w:rPr>
      </w:pPr>
    </w:p>
    <w:sectPr w:rsidRPr="001369E6" w:rsidR="00327884" w:rsidSect="00163B44">
      <w:type w:val="continuous"/>
      <w:pgSz w:w="12240" w:h="15840" w:orient="portrait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">
    <w:altName w:val="Averta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XCond Regular">
    <w:altName w:val="Graphik XCond"/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Averta-Extrabold">
    <w:altName w:val="Averta-Extrabold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Semibold">
    <w:altName w:val="Averta-Semibold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 Extrabold"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 Semibold"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Graphik XCond Semibold"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Graphik XCond Medium"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47BF8"/>
    <w:multiLevelType w:val="hybridMultilevel"/>
    <w:tmpl w:val="75781118"/>
    <w:lvl w:ilvl="0" w:tplc="37865E34">
      <w:numFmt w:val="bullet"/>
      <w:lvlText w:val="•"/>
      <w:lvlJc w:val="left"/>
      <w:pPr>
        <w:ind w:left="417" w:hanging="141"/>
      </w:pPr>
      <w:rPr>
        <w:rFonts w:hint="default" w:ascii="Averta" w:hAnsi="Averta" w:eastAsia="Averta" w:cs="Averta"/>
        <w:color w:val="008AB0"/>
        <w:w w:val="100"/>
        <w:sz w:val="21"/>
        <w:szCs w:val="21"/>
        <w:lang w:val="en-US" w:eastAsia="en-US" w:bidi="ar-SA"/>
      </w:rPr>
    </w:lvl>
    <w:lvl w:ilvl="1" w:tplc="6AACAED6">
      <w:numFmt w:val="bullet"/>
      <w:lvlText w:val="•"/>
      <w:lvlJc w:val="left"/>
      <w:pPr>
        <w:ind w:left="1516" w:hanging="141"/>
      </w:pPr>
      <w:rPr>
        <w:rFonts w:hint="default"/>
        <w:lang w:val="en-US" w:eastAsia="en-US" w:bidi="ar-SA"/>
      </w:rPr>
    </w:lvl>
    <w:lvl w:ilvl="2" w:tplc="BF6E6C8A">
      <w:numFmt w:val="bullet"/>
      <w:lvlText w:val="•"/>
      <w:lvlJc w:val="left"/>
      <w:pPr>
        <w:ind w:left="2612" w:hanging="141"/>
      </w:pPr>
      <w:rPr>
        <w:rFonts w:hint="default"/>
        <w:lang w:val="en-US" w:eastAsia="en-US" w:bidi="ar-SA"/>
      </w:rPr>
    </w:lvl>
    <w:lvl w:ilvl="3" w:tplc="832478A0">
      <w:numFmt w:val="bullet"/>
      <w:lvlText w:val="•"/>
      <w:lvlJc w:val="left"/>
      <w:pPr>
        <w:ind w:left="3708" w:hanging="141"/>
      </w:pPr>
      <w:rPr>
        <w:rFonts w:hint="default"/>
        <w:lang w:val="en-US" w:eastAsia="en-US" w:bidi="ar-SA"/>
      </w:rPr>
    </w:lvl>
    <w:lvl w:ilvl="4" w:tplc="18F604C4">
      <w:numFmt w:val="bullet"/>
      <w:lvlText w:val="•"/>
      <w:lvlJc w:val="left"/>
      <w:pPr>
        <w:ind w:left="4804" w:hanging="141"/>
      </w:pPr>
      <w:rPr>
        <w:rFonts w:hint="default"/>
        <w:lang w:val="en-US" w:eastAsia="en-US" w:bidi="ar-SA"/>
      </w:rPr>
    </w:lvl>
    <w:lvl w:ilvl="5" w:tplc="43DCC5EA">
      <w:numFmt w:val="bullet"/>
      <w:lvlText w:val="•"/>
      <w:lvlJc w:val="left"/>
      <w:pPr>
        <w:ind w:left="5900" w:hanging="141"/>
      </w:pPr>
      <w:rPr>
        <w:rFonts w:hint="default"/>
        <w:lang w:val="en-US" w:eastAsia="en-US" w:bidi="ar-SA"/>
      </w:rPr>
    </w:lvl>
    <w:lvl w:ilvl="6" w:tplc="46D25D38">
      <w:numFmt w:val="bullet"/>
      <w:lvlText w:val="•"/>
      <w:lvlJc w:val="left"/>
      <w:pPr>
        <w:ind w:left="6996" w:hanging="141"/>
      </w:pPr>
      <w:rPr>
        <w:rFonts w:hint="default"/>
        <w:lang w:val="en-US" w:eastAsia="en-US" w:bidi="ar-SA"/>
      </w:rPr>
    </w:lvl>
    <w:lvl w:ilvl="7" w:tplc="B5E6C108">
      <w:numFmt w:val="bullet"/>
      <w:lvlText w:val="•"/>
      <w:lvlJc w:val="left"/>
      <w:pPr>
        <w:ind w:left="8092" w:hanging="141"/>
      </w:pPr>
      <w:rPr>
        <w:rFonts w:hint="default"/>
        <w:lang w:val="en-US" w:eastAsia="en-US" w:bidi="ar-SA"/>
      </w:rPr>
    </w:lvl>
    <w:lvl w:ilvl="8" w:tplc="EDF6B314">
      <w:numFmt w:val="bullet"/>
      <w:lvlText w:val="•"/>
      <w:lvlJc w:val="left"/>
      <w:pPr>
        <w:ind w:left="9188" w:hanging="141"/>
      </w:pPr>
      <w:rPr>
        <w:rFonts w:hint="default"/>
        <w:lang w:val="en-US" w:eastAsia="en-US" w:bidi="ar-SA"/>
      </w:rPr>
    </w:lvl>
  </w:abstractNum>
  <w:num w:numId="1" w16cid:durableId="21312428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84"/>
    <w:rsid w:val="00037894"/>
    <w:rsid w:val="001369E6"/>
    <w:rsid w:val="00163B44"/>
    <w:rsid w:val="00181475"/>
    <w:rsid w:val="001925F4"/>
    <w:rsid w:val="00240CA8"/>
    <w:rsid w:val="002920B2"/>
    <w:rsid w:val="002E6D20"/>
    <w:rsid w:val="00327884"/>
    <w:rsid w:val="00380C40"/>
    <w:rsid w:val="003B2044"/>
    <w:rsid w:val="003C45BE"/>
    <w:rsid w:val="00442DBD"/>
    <w:rsid w:val="0049719A"/>
    <w:rsid w:val="004F3788"/>
    <w:rsid w:val="00564F40"/>
    <w:rsid w:val="005A4D48"/>
    <w:rsid w:val="005D5A8A"/>
    <w:rsid w:val="005D6FE4"/>
    <w:rsid w:val="005E05D6"/>
    <w:rsid w:val="006324B7"/>
    <w:rsid w:val="006C2C0D"/>
    <w:rsid w:val="007503E2"/>
    <w:rsid w:val="0076005B"/>
    <w:rsid w:val="0080413A"/>
    <w:rsid w:val="00833841"/>
    <w:rsid w:val="00850FA7"/>
    <w:rsid w:val="008738D1"/>
    <w:rsid w:val="009155E1"/>
    <w:rsid w:val="009F6091"/>
    <w:rsid w:val="00A0652B"/>
    <w:rsid w:val="00A528D1"/>
    <w:rsid w:val="00A82523"/>
    <w:rsid w:val="00AB2EF7"/>
    <w:rsid w:val="00B404C3"/>
    <w:rsid w:val="00B96568"/>
    <w:rsid w:val="00C33F60"/>
    <w:rsid w:val="00C365C0"/>
    <w:rsid w:val="00C44E89"/>
    <w:rsid w:val="00D003A9"/>
    <w:rsid w:val="00D83B1A"/>
    <w:rsid w:val="00D90A23"/>
    <w:rsid w:val="00D95C18"/>
    <w:rsid w:val="00DA5ED3"/>
    <w:rsid w:val="00E435CD"/>
    <w:rsid w:val="00E44743"/>
    <w:rsid w:val="00E94030"/>
    <w:rsid w:val="00F55AAB"/>
    <w:rsid w:val="00FA32A0"/>
    <w:rsid w:val="2391498D"/>
    <w:rsid w:val="3CD1A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963E17"/>
  <w15:docId w15:val="{51D191A6-51C7-534F-BEBE-DB1836392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raphik XCond Regular" w:hAnsi="Graphik XCond Regular" w:eastAsia="Graphik XCond Regular" w:cs="Graphik XCond Regular"/>
    </w:rPr>
  </w:style>
  <w:style w:type="paragraph" w:styleId="Heading1">
    <w:name w:val="heading 1"/>
    <w:basedOn w:val="Normal"/>
    <w:link w:val="Heading1Char"/>
    <w:uiPriority w:val="9"/>
    <w:qFormat/>
    <w:pPr>
      <w:spacing w:before="16"/>
      <w:ind w:left="268"/>
      <w:outlineLvl w:val="0"/>
    </w:pPr>
    <w:rPr>
      <w:rFonts w:ascii="Averta-Extrabold" w:hAnsi="Averta-Extrabold" w:eastAsia="Averta-Extrabold" w:cs="Averta-Extrabold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9"/>
      <w:ind w:left="417" w:hanging="142"/>
    </w:pPr>
    <w:rPr>
      <w:rFonts w:ascii="Averta-Semibold" w:hAnsi="Averta-Semibold" w:eastAsia="Averta-Semibold" w:cs="Averta-Semibold"/>
    </w:r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C44E89"/>
    <w:rPr>
      <w:rFonts w:ascii="Averta-Extrabold" w:hAnsi="Averta-Extrabold" w:eastAsia="Averta-Extrabold" w:cs="Averta-Extrabold"/>
      <w:b/>
      <w:bCs/>
      <w:sz w:val="26"/>
      <w:szCs w:val="26"/>
    </w:rPr>
  </w:style>
  <w:style w:type="character" w:styleId="BodyTextChar" w:customStyle="1">
    <w:name w:val="Body Text Char"/>
    <w:basedOn w:val="DefaultParagraphFont"/>
    <w:link w:val="BodyText"/>
    <w:uiPriority w:val="1"/>
    <w:rsid w:val="00C44E89"/>
    <w:rPr>
      <w:rFonts w:ascii="Graphik XCond Regular" w:hAnsi="Graphik XCond Regular" w:eastAsia="Graphik XCond Regular" w:cs="Graphik XCond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artis.com/us-en/abou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novartis.us/sites/www.novartis.us/files/kesimpta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D4569B5B44A4EAC9C5B9C969C5B5A" ma:contentTypeVersion="15" ma:contentTypeDescription="Create a new document." ma:contentTypeScope="" ma:versionID="c2a8293bcec4930da147cb162f63df92">
  <xsd:schema xmlns:xsd="http://www.w3.org/2001/XMLSchema" xmlns:xs="http://www.w3.org/2001/XMLSchema" xmlns:p="http://schemas.microsoft.com/office/2006/metadata/properties" xmlns:ns2="cedf3f41-cca4-4dd1-86ed-2736792af8f4" xmlns:ns3="5a63d01a-f10d-40a9-9e83-dbf944569016" targetNamespace="http://schemas.microsoft.com/office/2006/metadata/properties" ma:root="true" ma:fieldsID="b1c3c89c136c55f659ae3490524ce1a0" ns2:_="" ns3:_="">
    <xsd:import namespace="cedf3f41-cca4-4dd1-86ed-2736792af8f4"/>
    <xsd:import namespace="5a63d01a-f10d-40a9-9e83-dbf944569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3f41-cca4-4dd1-86ed-2736792a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be64f9-6714-4b71-affc-8bd4a52cd97b}" ma:internalName="TaxCatchAll" ma:showField="CatchAllData" ma:web="cedf3f41-cca4-4dd1-86ed-2736792a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3d01a-f10d-40a9-9e83-dbf944569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7bc47b-3997-4ccb-824d-08e9c3bde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3f41-cca4-4dd1-86ed-2736792af8f4" xsi:nil="true"/>
    <lcf76f155ced4ddcb4097134ff3c332f xmlns="5a63d01a-f10d-40a9-9e83-dbf9445690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8F1C5-F00A-470A-AA75-410D2699F983}"/>
</file>

<file path=customXml/itemProps2.xml><?xml version="1.0" encoding="utf-8"?>
<ds:datastoreItem xmlns:ds="http://schemas.openxmlformats.org/officeDocument/2006/customXml" ds:itemID="{B3FE58F4-6703-4C65-A10F-FA09CB7EE7B5}"/>
</file>

<file path=customXml/itemProps3.xml><?xml version="1.0" encoding="utf-8"?>
<ds:datastoreItem xmlns:ds="http://schemas.openxmlformats.org/officeDocument/2006/customXml" ds:itemID="{22EC78E6-A109-4E9F-95A6-8CA718D45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Kapp, Marguerite</cp:lastModifiedBy>
  <cp:revision>25</cp:revision>
  <dcterms:created xsi:type="dcterms:W3CDTF">2024-08-29T19:52:00Z</dcterms:created>
  <dcterms:modified xsi:type="dcterms:W3CDTF">2024-08-29T19:55:29Z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2020-08-24T00:00:00Z</vt:filetime>
  </property>
  <property fmtid="{D5CDD505-2E9C-101B-9397-08002B2CF9AE}" pid="5" name="MSIP_Label_3c9bec58-8084-492e-8360-0e1cfe36408c_Enabled">
    <vt:lpwstr>true</vt:lpwstr>
  </property>
  <property fmtid="{D5CDD505-2E9C-101B-9397-08002B2CF9AE}" pid="6" name="MSIP_Label_3c9bec58-8084-492e-8360-0e1cfe36408c_SetDate">
    <vt:lpwstr>2024-08-29T19:52:33Z</vt:lpwstr>
  </property>
  <property fmtid="{D5CDD505-2E9C-101B-9397-08002B2CF9AE}" pid="7" name="MSIP_Label_3c9bec58-8084-492e-8360-0e1cfe36408c_Method">
    <vt:lpwstr>Standard</vt:lpwstr>
  </property>
  <property fmtid="{D5CDD505-2E9C-101B-9397-08002B2CF9AE}" pid="8" name="MSIP_Label_3c9bec58-8084-492e-8360-0e1cfe36408c_Name">
    <vt:lpwstr>Not Protected -Pilot</vt:lpwstr>
  </property>
  <property fmtid="{D5CDD505-2E9C-101B-9397-08002B2CF9AE}" pid="9" name="MSIP_Label_3c9bec58-8084-492e-8360-0e1cfe36408c_SiteId">
    <vt:lpwstr>f35a6974-607f-47d4-82d7-ff31d7dc53a5</vt:lpwstr>
  </property>
  <property fmtid="{D5CDD505-2E9C-101B-9397-08002B2CF9AE}" pid="10" name="MSIP_Label_3c9bec58-8084-492e-8360-0e1cfe36408c_ActionId">
    <vt:lpwstr>e3c419f9-a6d8-4b30-85c4-0c8598cd06dd</vt:lpwstr>
  </property>
  <property fmtid="{D5CDD505-2E9C-101B-9397-08002B2CF9AE}" pid="11" name="MSIP_Label_3c9bec58-8084-492e-8360-0e1cfe36408c_ContentBits">
    <vt:lpwstr>0</vt:lpwstr>
  </property>
  <property fmtid="{D5CDD505-2E9C-101B-9397-08002B2CF9AE}" pid="12" name="ContentTypeId">
    <vt:lpwstr>0x010100E4FD4569B5B44A4EAC9C5B9C969C5B5A</vt:lpwstr>
  </property>
</Properties>
</file>